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42" w:rsidRPr="00AA4542" w:rsidRDefault="00AA4542" w:rsidP="00AA4542">
      <w:pPr>
        <w:widowControl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r w:rsidRPr="00AA4542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第</w:t>
      </w:r>
      <w:r w:rsidRPr="00AA4542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</w:t>
      </w:r>
      <w:r w:rsidRPr="00AA4542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講：序言</w:t>
      </w:r>
      <w:proofErr w:type="gramStart"/>
      <w:r w:rsidRPr="00AA4542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──民數記概論</w:t>
      </w:r>
      <w:proofErr w:type="gramEnd"/>
    </w:p>
    <w:p w:rsidR="00AA4542" w:rsidRPr="00AA4542" w:rsidRDefault="00AA4542" w:rsidP="00AA454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AA4542">
        <w:rPr>
          <w:rFonts w:ascii="新細明體" w:eastAsia="新細明體" w:hAnsi="新細明體" w:cs="新細明體"/>
          <w:kern w:val="0"/>
          <w:szCs w:val="24"/>
        </w:rPr>
        <w:t xml:space="preserve">1.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由來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1.1.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名稱來自希臘文的七十士譯本。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1.2.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書裡記載了兩次數點百姓，分別是在</w:t>
      </w:r>
      <w:r w:rsidRPr="00AA4542">
        <w:rPr>
          <w:rFonts w:ascii="新細明體" w:eastAsia="新細明體" w:hAnsi="新細明體" w:cs="新細明體"/>
          <w:kern w:val="0"/>
          <w:szCs w:val="24"/>
        </w:rPr>
        <w:t>1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章和</w:t>
      </w:r>
      <w:r w:rsidRPr="00AA4542">
        <w:rPr>
          <w:rFonts w:ascii="新細明體" w:eastAsia="新細明體" w:hAnsi="新細明體" w:cs="新細明體"/>
          <w:kern w:val="0"/>
          <w:szCs w:val="24"/>
        </w:rPr>
        <w:t>26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章。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1.3.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猶太人則以這書的第</w:t>
      </w:r>
      <w:r w:rsidRPr="00AA4542">
        <w:rPr>
          <w:rFonts w:ascii="新細明體" w:eastAsia="新細明體" w:hAnsi="新細明體" w:cs="新細明體"/>
          <w:kern w:val="0"/>
          <w:szCs w:val="24"/>
        </w:rPr>
        <w:t>1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節的第五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字</w:t>
      </w:r>
      <w:r w:rsidRPr="00AA4542">
        <w:rPr>
          <w:rFonts w:ascii="新細明體" w:eastAsia="新細明體" w:hAnsi="新細明體" w:cs="新細明體"/>
          <w:kern w:val="0"/>
          <w:szCs w:val="24"/>
        </w:rPr>
        <w:t>“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在曠野</w:t>
      </w:r>
      <w:r w:rsidRPr="00AA4542">
        <w:rPr>
          <w:rFonts w:ascii="新細明體" w:eastAsia="新細明體" w:hAnsi="新細明體" w:cs="新細明體"/>
          <w:kern w:val="0"/>
          <w:szCs w:val="24"/>
        </w:rPr>
        <w:t>”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作為書名。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1.4.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神的百姓未進入應許之地前，他們要先經過曠野的試煉。</w:t>
      </w:r>
    </w:p>
    <w:p w:rsidR="00AA4542" w:rsidRPr="00AA4542" w:rsidRDefault="00AA4542" w:rsidP="00AA454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A4542">
        <w:rPr>
          <w:rFonts w:ascii="新細明體" w:eastAsia="新細明體" w:hAnsi="新細明體" w:cs="新細明體"/>
          <w:kern w:val="0"/>
          <w:szCs w:val="24"/>
        </w:rPr>
        <w:t xml:space="preserve">2.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作者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2.1.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作者是摩西。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2.2.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摩西親自帶領色列人經過曠野漂流的生活，他是最適合寫出本書的人了。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2.3.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在約</w:t>
      </w:r>
      <w:r w:rsidRPr="00AA4542">
        <w:rPr>
          <w:rFonts w:ascii="新細明體" w:eastAsia="新細明體" w:hAnsi="新細明體" w:cs="新細明體"/>
          <w:kern w:val="0"/>
          <w:szCs w:val="24"/>
        </w:rPr>
        <w:t>3:14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：主耶穌也曾引用這書，指出摩西在曠野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舉起銅蛇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，是人子完成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救恩的一個預表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AA4542" w:rsidRPr="00AA4542" w:rsidRDefault="00AA4542" w:rsidP="00AA454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A4542">
        <w:rPr>
          <w:rFonts w:ascii="新細明體" w:eastAsia="新細明體" w:hAnsi="新細明體" w:cs="新細明體"/>
          <w:kern w:val="0"/>
          <w:szCs w:val="24"/>
        </w:rPr>
        <w:t xml:space="preserve">3.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寫作日期和地點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3.1.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意見不一，視乎學者如何斷定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以色列民出埃及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的日期。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3.2.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本書的寫作日期一定是在摩西逝世之前，當時摩西與百姓已經走完曠野的路程。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3.3.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寫作地點很有可能是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在摩押平原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3.4.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摩西離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世前寫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下上帝的啟示、以色列民在曠野所受的試煉，成為後世的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律例和鑒戒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AA4542" w:rsidRPr="00AA4542" w:rsidRDefault="00AA4542" w:rsidP="00AA454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A4542">
        <w:rPr>
          <w:rFonts w:ascii="新細明體" w:eastAsia="新細明體" w:hAnsi="新細明體" w:cs="新細明體"/>
          <w:kern w:val="0"/>
          <w:szCs w:val="24"/>
        </w:rPr>
        <w:t xml:space="preserve">4.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主題特色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4.1.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描述上帝怎樣把百姓組織起來，踏上曠野的旅程，在百姓屢次的反叛中教導他們，最後把他們領到應許之地的邊界。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4.2.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本書體裁多元化，將律法、宗教禮儀、歷史、詩詞和預言集於一身。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4.3. 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民數記提到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的律法是在歷史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事件中頒下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的，透過日常生活實例顯出屬靈的真理，突顯了律法的貼切和實用。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4.4. 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民數記包含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了豐富的神學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和預表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，所以新約作者多次引用本書的內容。</w:t>
      </w:r>
    </w:p>
    <w:p w:rsidR="00AA4542" w:rsidRPr="00AA4542" w:rsidRDefault="00AA4542" w:rsidP="00AA454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A4542">
        <w:rPr>
          <w:rFonts w:ascii="新細明體" w:eastAsia="新細明體" w:hAnsi="新細明體" w:cs="新細明體"/>
          <w:kern w:val="0"/>
          <w:szCs w:val="24"/>
        </w:rPr>
        <w:t xml:space="preserve">5.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與摩西五經及其他經卷的關係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5.1.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民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數記屬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五經的其中一部，自然與五經的其餘四卷有著密切關係。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5.2.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摩西五經加上約書亞記的記載，整個故事的過程排列如下：後裔與土地的應許、出埃及、曠野飄流、停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在西乃山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、曠野飄流、進入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迦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南、以色列民得應許之地。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5.3.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啟示了以色列民在曠野應當如何生活，其中</w:t>
      </w:r>
      <w:r w:rsidRPr="00AA4542">
        <w:rPr>
          <w:rFonts w:ascii="新細明體" w:eastAsia="新細明體" w:hAnsi="新細明體" w:cs="新細明體"/>
          <w:kern w:val="0"/>
          <w:szCs w:val="24"/>
        </w:rPr>
        <w:t>“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聖潔</w:t>
      </w:r>
      <w:r w:rsidRPr="00AA4542">
        <w:rPr>
          <w:rFonts w:ascii="新細明體" w:eastAsia="新細明體" w:hAnsi="新細明體" w:cs="新細明體"/>
          <w:kern w:val="0"/>
          <w:szCs w:val="24"/>
        </w:rPr>
        <w:t>”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是最重要的一環，這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從會幕和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祭司與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利未人在民數記所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處的中心位置反映出來。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5.4. 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民數記是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以色列民在曠野飄流的記錄。這段記載成為以色列民日後的生活教訓，所以聖經中的許多書卷都提到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民數記的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記錄。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</w:r>
      <w:r w:rsidRPr="00AA4542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5.5.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對於今日的信徒，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民數記中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選民的遭遇，可作為前車之鑒，我們千萬不要像他們那樣叛逆神！</w:t>
      </w:r>
    </w:p>
    <w:p w:rsidR="00AA4542" w:rsidRPr="00AA4542" w:rsidRDefault="00AA4542" w:rsidP="00AA454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A4542">
        <w:rPr>
          <w:rFonts w:ascii="新細明體" w:eastAsia="新細明體" w:hAnsi="新細明體" w:cs="新細明體"/>
          <w:kern w:val="0"/>
          <w:szCs w:val="24"/>
        </w:rPr>
        <w:t xml:space="preserve">6.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分段、大綱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>6.1. “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曠野</w:t>
      </w:r>
      <w:r w:rsidRPr="00AA4542">
        <w:rPr>
          <w:rFonts w:ascii="新細明體" w:eastAsia="新細明體" w:hAnsi="新細明體" w:cs="新細明體"/>
          <w:kern w:val="0"/>
          <w:szCs w:val="24"/>
        </w:rPr>
        <w:t>”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是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民數記的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思想背景。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>6.2. “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應許之地</w:t>
      </w:r>
      <w:r w:rsidRPr="00AA4542">
        <w:rPr>
          <w:rFonts w:ascii="新細明體" w:eastAsia="新細明體" w:hAnsi="新細明體" w:cs="新細明體"/>
          <w:kern w:val="0"/>
          <w:szCs w:val="24"/>
        </w:rPr>
        <w:t>”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就是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民數記的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目標。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>6.3. “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聖潔秩序</w:t>
      </w:r>
      <w:r w:rsidRPr="00AA4542">
        <w:rPr>
          <w:rFonts w:ascii="新細明體" w:eastAsia="新細明體" w:hAnsi="新細明體" w:cs="新細明體"/>
          <w:kern w:val="0"/>
          <w:szCs w:val="24"/>
        </w:rPr>
        <w:t>”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是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民數記的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思想中心。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6.4.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分為三大段落</w:t>
      </w:r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6.4.1.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聖潔的組成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民</w:t>
      </w:r>
      <w:r w:rsidRPr="00AA4542">
        <w:rPr>
          <w:rFonts w:ascii="新細明體" w:eastAsia="新細明體" w:hAnsi="新細明體" w:cs="新細明體"/>
          <w:kern w:val="0"/>
          <w:szCs w:val="24"/>
        </w:rPr>
        <w:t>1:1-10:10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6.4.2.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聖潔的危機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民</w:t>
      </w:r>
      <w:r w:rsidRPr="00AA4542">
        <w:rPr>
          <w:rFonts w:ascii="新細明體" w:eastAsia="新細明體" w:hAnsi="新細明體" w:cs="新細明體"/>
          <w:kern w:val="0"/>
          <w:szCs w:val="24"/>
        </w:rPr>
        <w:t>10:11-25:18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AA4542">
        <w:rPr>
          <w:rFonts w:ascii="新細明體" w:eastAsia="新細明體" w:hAnsi="新細明體" w:cs="新細明體"/>
          <w:kern w:val="0"/>
          <w:szCs w:val="24"/>
        </w:rPr>
        <w:br/>
        <w:t xml:space="preserve">6.4.3. </w:t>
      </w:r>
      <w:r w:rsidRPr="00AA4542">
        <w:rPr>
          <w:rFonts w:ascii="新細明體" w:eastAsia="新細明體" w:hAnsi="新細明體" w:cs="新細明體" w:hint="eastAsia"/>
          <w:kern w:val="0"/>
          <w:szCs w:val="24"/>
        </w:rPr>
        <w:t>聖潔的實踐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AA4542">
        <w:rPr>
          <w:rFonts w:ascii="新細明體" w:eastAsia="新細明體" w:hAnsi="新細明體" w:cs="新細明體" w:hint="eastAsia"/>
          <w:kern w:val="0"/>
          <w:szCs w:val="24"/>
        </w:rPr>
        <w:t>民</w:t>
      </w:r>
      <w:r w:rsidRPr="00AA4542">
        <w:rPr>
          <w:rFonts w:ascii="新細明體" w:eastAsia="新細明體" w:hAnsi="新細明體" w:cs="新細明體"/>
          <w:kern w:val="0"/>
          <w:szCs w:val="24"/>
        </w:rPr>
        <w:t>26:1-36:13</w:t>
      </w:r>
      <w:proofErr w:type="gramStart"/>
      <w:r w:rsidRPr="00AA4542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</w:p>
    <w:p w:rsidR="00EB4FBC" w:rsidRPr="00AA4542" w:rsidRDefault="00AA4542"/>
    <w:sectPr w:rsidR="00EB4FBC" w:rsidRPr="00AA45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8"/>
    <w:rsid w:val="003312FB"/>
    <w:rsid w:val="00417B5C"/>
    <w:rsid w:val="00936AC8"/>
    <w:rsid w:val="00AA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45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4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70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80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2021-07-01T08:30:00Z</dcterms:created>
  <dcterms:modified xsi:type="dcterms:W3CDTF">2021-07-01T08:30:00Z</dcterms:modified>
</cp:coreProperties>
</file>