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93" w:rsidRPr="000C7693" w:rsidRDefault="000C7693" w:rsidP="000C769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愛的妙道</w:t>
      </w:r>
      <w:proofErr w:type="gramStart"/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13:1-7</w:t>
      </w:r>
      <w:proofErr w:type="gramStart"/>
      <w:r w:rsidRPr="000C7693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C7693" w:rsidRPr="000C7693" w:rsidRDefault="000C7693" w:rsidP="000C7693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0C7693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0C7693" w:rsidRPr="000C7693" w:rsidRDefault="000C7693" w:rsidP="000C769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7693">
        <w:rPr>
          <w:rFonts w:ascii="Helvetica" w:eastAsia="新細明體" w:hAnsi="Helvetica" w:cs="Helvetica" w:hint="eastAsia"/>
          <w:kern w:val="0"/>
          <w:sz w:val="21"/>
          <w:szCs w:val="21"/>
        </w:rPr>
        <w:t>這一章可以分為三小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段：第一段是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1-3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節，談到愛的價值；第二段是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4-7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節，談到愛的定義：第三段是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8-13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節，談到愛的永存。</w:t>
      </w:r>
    </w:p>
    <w:p w:rsidR="000C7693" w:rsidRPr="000C7693" w:rsidRDefault="000C7693" w:rsidP="000C769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愛的價值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13:1-3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節，什麼是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萬人方言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天使的話語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萬人的方言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既然是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，當然就是人間的話語了。至於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天使的話語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，既然說明是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天使的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，就不是人間的話語了。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在這個世界上，真的有人會說萬人的方言、天使的話語麼？保羅一開頭就用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字、表明了這是一種假設。他說，如果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能夠說萬人的方言，而且連天使的話都會說，但是卻沒有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，那麼我的話就成了鳴的鑼，響的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鈸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一般，跟一種單調而沒有意義的吵鬧聲沒有什麼分別。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各樣的奧秘、各樣的知識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，就是一切屬靈的奧秘，和一切屬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的知識。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全備的信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，按照主耶穌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，就是無所不能的信心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17:20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。先知講道之能，明白各樣奧秘的知識和全備的信，在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12:8-10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也提過，不過在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章是說分給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不同的人，這裡是說三樣都集中在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個人身上，而且這個人的三種恩賜都有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高度的表現。雖然是這樣，如果沒有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，還算不得什麼。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節，即使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個人肯將全部財產施捨掉，甚至被焚燒殉道，如果他的出發點不是愛，那在神的眼中毫無價值，做的人也一無所得。</w:t>
      </w:r>
    </w:p>
    <w:p w:rsidR="000C7693" w:rsidRPr="000C7693" w:rsidRDefault="000C7693" w:rsidP="000C7693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愛的定義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13:4-7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久忍耐：是指在人際關係中對別人的諒解和接納。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：我們容忍接納一些別人施加在自己身上的負面態度，然後以正面的仁慈憐憫態度作回報。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不嫉妒：一連好幾個否定句，不嫉妒是第一個。嫉妒是把別人看作是跟自己對立的競爭對手，對方的優點、成就，構成了對我的威脅，即使不在實際行動上有所表示，也至少在心理上產生抗拒、輕視和抵制。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不自誇：自誇是對自己的長處過分看重。這是自我中心的表現，以個人的成就來沾沾自喜，甚至是踐踏別人來抬高自己的地位。哥林多教會的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屬靈派信徒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就常常犯這個毛病，說方言的問題也和這個有密切的關係。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2.5.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不張狂：張狂就是驕傲、放縱，也就是保羅指責哥林多人的自高自大了。這也是一種自我中心的表現。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不作害羞的事：是指我們不應該作一些不合宜的事情，比方說十一章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說的婦女不蒙頭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，或者是富有的信徒在聖餐中所作的讓貧窮者羞愧的事情。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2.7.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不求自己的益處：放在哥林多教會這個場景來看，大概是指那些有知識、有信心的人，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為著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那些沒有知識以及信心的人的緣故而放棄自己應得的權利和享受。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2.8.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不輕易發怒：保羅說，一個有愛心的人不會輕易地生別人的氣。他不會容忍罪惡，但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是他也會設身處地為別人著想，體諒別人，從而減少了自義性地發怒的可能性。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2.9.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不計算人的惡：有兩方面的意思：第一，不累積數算別人的錯誤；第二，不設計謀害別人。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惡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在這裡是指別人對自己的干犯和侵害，而不是一般性的罪。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2.10.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不喜歡不義、只喜歡真理：兩句話是同一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意思的正反面陳述。愛不是盲目的，它是在真理的規範下所作出的態度和行為，比方說縱容自己所愛的人，讓他繼續犯罪，這就不是真正的愛了。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2.11.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凡事包容：包容除了包括接納和忍耐的含義</w:t>
      </w:r>
      <w:proofErr w:type="gramStart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以外，</w:t>
      </w:r>
      <w:proofErr w:type="gramEnd"/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也可以是覆蓋和保護的意思。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2.12.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凡事相信：愛就是不要懼怕自己會遭到別人的謀害或者是利用，不要拒絕吃虧或者是得不償失。當我們要對人付出愛的時候，我們就不要有一個懷疑的態度，心存防範。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2.13.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盼望：這裡主要的含義是對別人充滿了盼望，相信別人能夠成長改變。為什麼別人能夠改變呢？這是因為神的原故。神完全有能力改變人的一生。當我們對人常存信心和盼望的時候，我們就能夠做出別人所不能夠想像的事情，甚至是改變這個世界。</w:t>
      </w:r>
      <w:r w:rsidRPr="000C7693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2.14. </w:t>
      </w:r>
      <w:r w:rsidRPr="000C7693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凡事忍耐：在不利的環境下，在似乎讓人感到絕望的環境裡，我們仍然因為心裡有信心和盼望而持守下去，並且積極地以愛作出回應。</w:t>
      </w:r>
    </w:p>
    <w:p w:rsidR="000C7693" w:rsidRPr="000C7693" w:rsidRDefault="000C7693" w:rsidP="000C76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C7693" w:rsidRDefault="000C7693"/>
    <w:sectPr w:rsidR="00EB4FBC" w:rsidRPr="000C76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31DF"/>
    <w:multiLevelType w:val="multilevel"/>
    <w:tmpl w:val="06AC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C7693"/>
    <w:rsid w:val="003312FB"/>
    <w:rsid w:val="00417B5C"/>
    <w:rsid w:val="00D8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C76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C769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76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C76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C7693"/>
  </w:style>
  <w:style w:type="paragraph" w:styleId="a4">
    <w:name w:val="Balloon Text"/>
    <w:basedOn w:val="a"/>
    <w:link w:val="a5"/>
    <w:uiPriority w:val="99"/>
    <w:semiHidden/>
    <w:unhideWhenUsed/>
    <w:rsid w:val="000C7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76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C76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C7693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C769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C76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C7693"/>
  </w:style>
  <w:style w:type="paragraph" w:styleId="a4">
    <w:name w:val="Balloon Text"/>
    <w:basedOn w:val="a"/>
    <w:link w:val="a5"/>
    <w:uiPriority w:val="99"/>
    <w:semiHidden/>
    <w:unhideWhenUsed/>
    <w:rsid w:val="000C7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76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0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8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0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4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2021-07-14T02:40:00Z</dcterms:created>
  <dcterms:modified xsi:type="dcterms:W3CDTF">2021-07-14T02:41:00Z</dcterms:modified>
</cp:coreProperties>
</file>