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34" w:rsidRPr="00743134" w:rsidRDefault="00743134" w:rsidP="0074313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4313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4313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74313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講：鴻</w:t>
      </w:r>
      <w:r w:rsidRPr="0074313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74313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743134" w:rsidRPr="00743134" w:rsidRDefault="00743134" w:rsidP="0074313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743134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5" w:history="1">
        <w:r w:rsidRPr="00743134">
          <w:rPr>
            <w:rFonts w:ascii="Helvetica" w:eastAsia="新細明體" w:hAnsi="Helvetica" w:cs="Helvetica" w:hint="eastAsia"/>
            <w:kern w:val="0"/>
            <w:sz w:val="21"/>
            <w:szCs w:val="21"/>
          </w:rPr>
          <w:t>那鴻書</w:t>
        </w:r>
      </w:hyperlink>
    </w:p>
    <w:p w:rsidR="00743134" w:rsidRPr="00743134" w:rsidRDefault="00743134" w:rsidP="00743134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743134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743134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743134" w:rsidRPr="00743134" w:rsidRDefault="00743134" w:rsidP="0074313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引言（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的引言中，包含作者的名字、他的家庭背景和所傳的信息。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書卷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可能是指這信息不是口講，而是書寫成文字，讓人知道的。</w:t>
      </w:r>
    </w:p>
    <w:p w:rsidR="00743134" w:rsidRPr="00743134" w:rsidRDefault="00743134" w:rsidP="0074313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讚頌耶和華本性與權能之詩（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1:2-8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描寫耶和華是忌邪施報的神（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1:2-3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耶和華是忌邪的神。當祂和百姓立約後，雙方必須排除其他所有的關係。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耶和華是公義的神，罪惡是祂所憎惡的，犯罪之人一定會得到他們應得的報應與懲罰。神斷不以有罪的為無罪。到了最後，他一定會除去罪惡，除去作惡的敵人。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描寫神在自然界的顯現（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-5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以旋風和暴風開路，用祂的腳激起雲彩，正如以色列人行路時激起塵土一般。祂的能力可使河海乾涸、使肥沃之地衰殘。根據巴勒斯坦的地理環境。巴珊是約但河東最富饒的地區，有最好的牧場。迦密山與利巴嫩山區也是森林與花木眾多的地方。但在神的咒詛之下都變得荒涼。不再有牧草，糧食也斷絕，人的生計全都失去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地在祂面前突起，可能是發生地震，受到嚴重的破壞，成為荒廢之地，所以世界和住在其間的，無論動物或植物都無法安然居住。在整個宇宙中，神是惟一的主。不順從祂的規律和旨意，必造成混亂，引起神的審判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有誰看到神榮耀的顯現能夠不畏懼？當神採取行動的時候，誰能夠站立得住呢？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描寫耶和華對尼尼微的審判及對猶大的保護（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1:6-8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節用重複的詞匯表示神的忿怒（忿恨、烈怒、忿怒）。任何個人或國家，都不可以在祂忿怒之中站立得往。祂的忿怒如火傾倒，這裡火也象徵神的聖潔，有煉淨的功能，除盡一切的污穢雜質。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磐石崩裂，大地震動，自然界受到了破損。這裡的磐石可能不只是自然的景象，因為城牆城門，甚至城堡，都建立在磐石之上，所以磐石崩裂，也可指城牆與城門倒塌，整座城都破損敗落。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顯示，神的怒氣對恨祂的人發作，但是對於愛祂和聽從祂的人，神卻有無限的慈愛。在亞述強盛的情況下，以色列人似乎看不見神的恩惠，但是他們必須以信心來尋求神的保護。耶和華是人在患難中的保障。尋求祂作保障的，勝過倚靠自己的謀略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相反的，我們在第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節見到，神的仇敵一定要經歷黑暗與洪水。漲溢的洪水有毀壞的力量，代表耶和華的威勢，使仇敵站立不住。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黑暗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是指痛苦、艱難與絕望的境地。</w:t>
      </w:r>
    </w:p>
    <w:p w:rsidR="00743134" w:rsidRPr="00743134" w:rsidRDefault="00743134" w:rsidP="0074313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神要因尼尼微設計攻擊神的罪而審判她（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1:9-11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在第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節，先知直接稱亞述為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，仿佛對亞述宣告，無論她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設下什麼計謀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攻擊耶和華，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神必要將之滅絕淨盡。其實人那裡有力量來攻擊神呢？那是註定失敗的，但是人就是那麼猖狂與驕妄！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節採用明喻，亞述好像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荊棘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一樣，在刑罰的烈火面前，無力反擊。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節中提到的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有一人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是誰呢？多數解經家估計是指亞述或尼尼微的首腦人物，公元前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701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年入侵猶大的西拿基立（王下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18:13-19:36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）。但是那人是誰不是最重要的，重點是在於那侵略者，不僅是一個人，而是整個國家亞述。這個國家出來要攻擊耶和華，攻擊耶路撒冷，也就是耶和華的居所。</w:t>
      </w:r>
    </w:p>
    <w:p w:rsidR="00743134" w:rsidRPr="00743134" w:rsidRDefault="00743134" w:rsidP="0074313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神對尼尼微和猶大的雙重判決（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1:12-2:2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12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一方面講述尼尼微的結局：尼尼微雖然勢力充足，但是在神看來，眾多的人數，也必歸於無有；另一方面又講述神給予猶大安慰與盼望。猶大不願意接受神的管教，但是管教是必要的。在管教過後，苦難會過去，神不再使猶大受苦了。神將毀滅尼尼微，使以色列人在猶大不再受外患的威脅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節提到的軛，是主人用來管轄奴僕，強迫他服苦的。現在軛已經折斷，繩索也已經扭開，代表了壓迫的事一定會過去。神已經為猶大申冤了，猶大將獲得完全的自由。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14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節，神再一次論尼尼微的結局：耶和華要完全除去尼尼微。尼尼微名下的人必不留後，名聲無法再流傳下去。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外邦的侵略者每次佔領一個地方後，一定會將當地的神廟拆毀，將神像除去，以褻瀆當地人的信仰。現在尼尼微敗亡，她們的神像被除去，她們的信仰被人褻瀆。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我必因你鄙陋使你歸於墳墓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可以有不同的解釋。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鄙陋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是指神廟，那毀壞的地方以後成為了墳地，尼尼微人的屍體就堆在那裡。這個詞也可以翻譯為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卑微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，毫無價值可言，甚至有人譯為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糞堆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。所以整句話可以解釋為：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使你的墳墓成為羞辱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登山是報信的地方。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節，向猶大所報的好信息是：亞述將要敗亡，猶大可以獲得真正的平安。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有興盛與自由的涵義。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信者呼召猶大來守節，因為敵人已經敗亡了，大家可以歡樂地來敬拜神，向神還願。當猶大在危難的時候，人們為求獲得平安，一定不住地祈求神。現在應該是感恩還願的時候了。惡人已經無力再施加壓迫，因為神已經把他們滅盡了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那惡人究竟是誰？可能就是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那一個專門圖謀邪惡，設惡計攻擊耶和華的人，不論這裡是指西拿基立或者亞述的任何一位君王。他們都惡貫滿盈，最後被神所毀滅。</w:t>
      </w:r>
    </w:p>
    <w:p w:rsidR="00743134" w:rsidRPr="00743134" w:rsidRDefault="00743134" w:rsidP="0074313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章的啟示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醒察自己的罪、投靠慈愛的主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有時候，我們也很像以色列人。雖然我們是神的子民，我們也會犯罪，虧缺神的榮耀。如果我們能夠常常省察自己的罪，投靠那位慈愛的主，我們一定能夠經歷到生命的復興。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要有感恩的心、回報拯救的主</w:t>
      </w:r>
      <w:r w:rsidRPr="0074313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4313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在困境中，我們都會切切的懇求神，可能向神許下了個人的承諾。當困境過去以後，我們的壓力消失了。在高興之餘，我們會否忘記自己的承諾？但願我們都以感恩的心回應我們的神。</w:t>
      </w:r>
    </w:p>
    <w:p w:rsidR="00EB4FBC" w:rsidRPr="00743134" w:rsidRDefault="00743134"/>
    <w:sectPr w:rsidR="00EB4FBC" w:rsidRPr="007431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AB"/>
    <w:rsid w:val="003312FB"/>
    <w:rsid w:val="00417B5C"/>
    <w:rsid w:val="00743134"/>
    <w:rsid w:val="007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313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313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13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3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43134"/>
  </w:style>
  <w:style w:type="paragraph" w:styleId="a4">
    <w:name w:val="Balloon Text"/>
    <w:basedOn w:val="a"/>
    <w:link w:val="a5"/>
    <w:uiPriority w:val="99"/>
    <w:semiHidden/>
    <w:unhideWhenUsed/>
    <w:rsid w:val="00743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1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313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313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13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3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43134"/>
  </w:style>
  <w:style w:type="paragraph" w:styleId="a4">
    <w:name w:val="Balloon Text"/>
    <w:basedOn w:val="a"/>
    <w:link w:val="a5"/>
    <w:uiPriority w:val="99"/>
    <w:semiHidden/>
    <w:unhideWhenUsed/>
    <w:rsid w:val="00743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8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25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nah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2021-07-13T03:29:00Z</dcterms:created>
  <dcterms:modified xsi:type="dcterms:W3CDTF">2021-07-13T03:30:00Z</dcterms:modified>
</cp:coreProperties>
</file>