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FA" w:rsidRPr="00DB00FA" w:rsidRDefault="00DB00FA" w:rsidP="00DB00FA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DB00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DB00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DB00F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DB00FA" w:rsidRPr="00DB00FA" w:rsidRDefault="00DB00FA" w:rsidP="00DB00F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proofErr w:type="gramStart"/>
        <w:r w:rsidRPr="00DB00FA">
          <w:rPr>
            <w:rFonts w:ascii="新細明體" w:eastAsia="新細明體" w:hAnsi="新細明體" w:cs="新細明體" w:hint="eastAsia"/>
            <w:kern w:val="0"/>
            <w:szCs w:val="24"/>
          </w:rPr>
          <w:t>那鴻書</w:t>
        </w:r>
        <w:proofErr w:type="gramEnd"/>
      </w:hyperlink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DB00FA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那鴻書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是十二先知書之一，記載了外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微陷落的預言。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這一卷書顯示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了：神通過審判外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來拯救以色列民族，彰顯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的公義。</w:t>
      </w:r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那鴻書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的作者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是那鴻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DB00FA">
        <w:rPr>
          <w:rFonts w:ascii="新細明體" w:eastAsia="新細明體" w:hAnsi="新細明體" w:cs="新細明體"/>
          <w:kern w:val="0"/>
          <w:szCs w:val="24"/>
        </w:rPr>
        <w:t>“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那鴻</w:t>
      </w:r>
      <w:r w:rsidRPr="00DB00FA">
        <w:rPr>
          <w:rFonts w:ascii="新細明體" w:eastAsia="新細明體" w:hAnsi="新細明體" w:cs="新細明體"/>
          <w:kern w:val="0"/>
          <w:szCs w:val="24"/>
        </w:rPr>
        <w:t>”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的原意為</w:t>
      </w:r>
      <w:r w:rsidRPr="00DB00FA">
        <w:rPr>
          <w:rFonts w:ascii="新細明體" w:eastAsia="新細明體" w:hAnsi="新細明體" w:cs="新細明體"/>
          <w:kern w:val="0"/>
          <w:szCs w:val="24"/>
        </w:rPr>
        <w:t>“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同情</w:t>
      </w:r>
      <w:r w:rsidRPr="00DB00FA">
        <w:rPr>
          <w:rFonts w:ascii="新細明體" w:eastAsia="新細明體" w:hAnsi="新細明體" w:cs="新細明體"/>
          <w:kern w:val="0"/>
          <w:szCs w:val="24"/>
        </w:rPr>
        <w:t>”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Pr="00DB00FA">
        <w:rPr>
          <w:rFonts w:ascii="新細明體" w:eastAsia="新細明體" w:hAnsi="新細明體" w:cs="新細明體"/>
          <w:kern w:val="0"/>
          <w:szCs w:val="24"/>
        </w:rPr>
        <w:t>“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安慰</w:t>
      </w:r>
      <w:r w:rsidRPr="00DB00FA">
        <w:rPr>
          <w:rFonts w:ascii="新細明體" w:eastAsia="新細明體" w:hAnsi="新細明體" w:cs="新細明體"/>
          <w:kern w:val="0"/>
          <w:szCs w:val="24"/>
        </w:rPr>
        <w:t>”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。可能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以色列民受亞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述的危害太久了，所以他們需要安慰的信息。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有關先知的家鄉：根據</w:t>
      </w:r>
      <w:r w:rsidRPr="00DB00FA">
        <w:rPr>
          <w:rFonts w:ascii="新細明體" w:eastAsia="新細明體" w:hAnsi="新細明體" w:cs="新細明體"/>
          <w:kern w:val="0"/>
          <w:szCs w:val="24"/>
        </w:rPr>
        <w:t>1:1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那鴻是伊勒歌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斯人。這個地名只在本書出現，它實際的所在地，有三個推測：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第一，是在尼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微，那裡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有那鴻的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墳墓為古跡。估計先知在北國亡國時被擄到該地，所以對亞述十分熟悉。第二，是在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迦百農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，因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迦百農曾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稱為</w:t>
      </w:r>
      <w:r w:rsidRPr="00DB00FA">
        <w:rPr>
          <w:rFonts w:ascii="新細明體" w:eastAsia="新細明體" w:hAnsi="新細明體" w:cs="新細明體"/>
          <w:kern w:val="0"/>
          <w:szCs w:val="24"/>
        </w:rPr>
        <w:t>“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那鴻之城</w:t>
      </w:r>
      <w:r w:rsidRPr="00DB00FA">
        <w:rPr>
          <w:rFonts w:ascii="新細明體" w:eastAsia="新細明體" w:hAnsi="新細明體" w:cs="新細明體"/>
          <w:kern w:val="0"/>
          <w:szCs w:val="24"/>
        </w:rPr>
        <w:t>”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。推測先知是北國亡國時，留在本土的王室中人。第三，是在猶大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南部，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因為先知十分關心猶大的勝利。但是以上所論的都無法獲得證實。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有關先知的性格：先知是一個熱切的愛國者。當他看到自己的同胞長期在外敵的壓迫下受苦時，他感到無限的憤慨。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先知有十分敏感的觀察力，大自然的一切景象，在他的筆下都成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為了神公義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的彰顯。</w:t>
      </w:r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背景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寫作年期：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這卷書應該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寫於公元前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663-612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之間，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這是亞述帝國面對危機的時期。當時猶大的王主要是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瑪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拿西（公元前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686-642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年）和約西亞（公元前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640-609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年），如果當時的王是比較賢能的約西亞，先知也許會記下他的名字，現在先知不提王的名字，可能是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瑪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拿西統治時期。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有關亞述的歷史：亞述帝國的興起，是在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提革拉毗勒色三世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在位的時候（公元前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745-725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年）。那時亞述的版圖很廣，從南方的波斯灣，向北至兩大流域的山谷地帶，向西至地中海，再朝南到海濱平原。當敘利亞聯合北國以色列來對付猶大時，猶大求援於亞述，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亞述先制服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敘利亞，再征服以色列。於是猶大成為了亞述的附庸國。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其後巴比倫崛起（公元前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626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年），巴勒斯坦附庸國開始背叛，同時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瑪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代人逐漸強盛，再加上從北方來的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西古提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的侵略，都給予亞述直接的威脅。以後在公元前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614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年亞述古城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敗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於瑪代。巴比倫、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瑪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代和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西古提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的聯軍於公元前</w:t>
      </w:r>
      <w:r w:rsidRPr="00DB00FA">
        <w:rPr>
          <w:rFonts w:ascii="新細明體" w:eastAsia="新細明體" w:hAnsi="新細明體" w:cs="新細明體"/>
          <w:kern w:val="0"/>
          <w:szCs w:val="24"/>
        </w:rPr>
        <w:t>612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年輕取亞述的首都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尼尼微城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尼尼微城是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亞述帝國建設最宏偉的城市，牆高十五公尺，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城圍有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十八公里，東邊和南邊有底格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裡斯河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的天然保障，十分穩固。城內建築了富麗的廟宇、宮殿、堡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lastRenderedPageBreak/>
        <w:t>壘，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寶藏什多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，是藝術與文化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的奇跡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。所以如此一座大城完全被毀滅，消失無跡，是歷史上的重大事件。</w:t>
      </w:r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寫作技巧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這卷書是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聖經文學中極美的詩文，文采異常豐美。頭一段是一首讚美神屬性的詩歌，是使用了接近一半希伯來文字母起頭的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離合詩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。接著是一幅法庭的景象，運用戲劇的手法交替地論及亞述和猶大，提出審判與釋放的判決。第</w:t>
      </w:r>
      <w:r w:rsidRPr="00DB00FA">
        <w:rPr>
          <w:rFonts w:ascii="新細明體" w:eastAsia="新細明體" w:hAnsi="新細明體" w:cs="新細明體"/>
          <w:kern w:val="0"/>
          <w:szCs w:val="24"/>
        </w:rPr>
        <w:t>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和第</w:t>
      </w:r>
      <w:r w:rsidRPr="00DB00FA">
        <w:rPr>
          <w:rFonts w:ascii="新細明體" w:eastAsia="新細明體" w:hAnsi="新細明體" w:cs="新細明體"/>
          <w:kern w:val="0"/>
          <w:szCs w:val="24"/>
        </w:rPr>
        <w:t>3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章又有對圍城和爭戰的描述，生動如同親眼目擊一般。經文中使用了暗喻和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明喻，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以及反諷的技巧。</w:t>
      </w:r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結構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全卷三章，基本上可分為：第</w:t>
      </w:r>
      <w:r w:rsidRPr="00DB00FA">
        <w:rPr>
          <w:rFonts w:ascii="新細明體" w:eastAsia="新細明體" w:hAnsi="新細明體" w:cs="新細明體"/>
          <w:kern w:val="0"/>
          <w:szCs w:val="24"/>
        </w:rPr>
        <w:t>1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章，論神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審判施報的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原則，宣告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尼尼微終必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被毀，猶大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終必蒙保守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。第</w:t>
      </w:r>
      <w:r w:rsidRPr="00DB00FA">
        <w:rPr>
          <w:rFonts w:ascii="新細明體" w:eastAsia="新細明體" w:hAnsi="新細明體" w:cs="新細明體"/>
          <w:kern w:val="0"/>
          <w:szCs w:val="24"/>
        </w:rPr>
        <w:t>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章，是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尼尼微受審判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的描述。第</w:t>
      </w:r>
      <w:r w:rsidRPr="00DB00FA">
        <w:rPr>
          <w:rFonts w:ascii="新細明體" w:eastAsia="新細明體" w:hAnsi="新細明體" w:cs="新細明體"/>
          <w:kern w:val="0"/>
          <w:szCs w:val="24"/>
        </w:rPr>
        <w:t>3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章，交代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尼尼微該受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審判的原因及其結局。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這卷書在</w:t>
      </w:r>
      <w:proofErr w:type="gramEnd"/>
      <w:r w:rsidRPr="00DB00FA">
        <w:rPr>
          <w:rFonts w:ascii="新細明體" w:eastAsia="新細明體" w:hAnsi="新細明體" w:cs="新細明體"/>
          <w:kern w:val="0"/>
          <w:szCs w:val="24"/>
        </w:rPr>
        <w:t>1:1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立即交代全書的主題，</w:t>
      </w:r>
      <w:r w:rsidRPr="00DB00FA">
        <w:rPr>
          <w:rFonts w:ascii="新細明體" w:eastAsia="新細明體" w:hAnsi="新細明體" w:cs="新細明體"/>
          <w:kern w:val="0"/>
          <w:szCs w:val="24"/>
        </w:rPr>
        <w:t>1:2-8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是讚頌耶和華本性與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權能之詩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，首先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說明神是一位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會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發怒施報的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神。神本性善良、有恩慈、不輕易發怒，但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公義的本性，仍然會向敵人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尼尼微城發怒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。中間又描寫神在自然界顯現的權威。</w:t>
      </w:r>
      <w:r w:rsidRPr="00DB00FA">
        <w:rPr>
          <w:rFonts w:ascii="新細明體" w:eastAsia="新細明體" w:hAnsi="新細明體" w:cs="新細明體"/>
          <w:kern w:val="0"/>
          <w:szCs w:val="24"/>
        </w:rPr>
        <w:t>1:9-11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表示要因尼尼微設計攻擊神的罪而審判它。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  <w:t>1:12-2:2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是神的雙重判決，一方面論尼尼微的結局，另一方面給予猶大安慰與盼望的信息。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  <w:t>2:3-13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十分生動的描述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尼尼微城的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傾覆，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尼尼微城遭受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攻擊，終於被擄，神像被毀，兵士逃跑，城內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財寶被掠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，最後以神的審判作為結束。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在</w:t>
      </w:r>
      <w:r w:rsidRPr="00DB00FA">
        <w:rPr>
          <w:rFonts w:ascii="新細明體" w:eastAsia="新細明體" w:hAnsi="新細明體" w:cs="新細明體"/>
          <w:kern w:val="0"/>
          <w:szCs w:val="24"/>
        </w:rPr>
        <w:t>3:1-19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中，神直接向荒涼的城說話，</w:t>
      </w:r>
      <w:r w:rsidRPr="00DB00FA">
        <w:rPr>
          <w:rFonts w:ascii="新細明體" w:eastAsia="新細明體" w:hAnsi="新細明體" w:cs="新細明體"/>
          <w:kern w:val="0"/>
          <w:szCs w:val="24"/>
        </w:rPr>
        <w:t>1-4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節指出尼尼微有詭詐殘暴及引誘別國崇拜偶像的罪行。</w:t>
      </w:r>
      <w:r w:rsidRPr="00DB00FA">
        <w:rPr>
          <w:rFonts w:ascii="新細明體" w:eastAsia="新細明體" w:hAnsi="新細明體" w:cs="新細明體"/>
          <w:kern w:val="0"/>
          <w:szCs w:val="24"/>
        </w:rPr>
        <w:t>5-7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節，是神對尼尼微的審判。</w:t>
      </w:r>
      <w:r w:rsidRPr="00DB00FA">
        <w:rPr>
          <w:rFonts w:ascii="新細明體" w:eastAsia="新細明體" w:hAnsi="新細明體" w:cs="新細明體"/>
          <w:kern w:val="0"/>
          <w:szCs w:val="24"/>
        </w:rPr>
        <w:t>8-11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節對比尼尼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微與挪亞們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說明神要因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微的驕恃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保障審判她。</w:t>
      </w:r>
      <w:r w:rsidRPr="00DB00FA">
        <w:rPr>
          <w:rFonts w:ascii="新細明體" w:eastAsia="新細明體" w:hAnsi="新細明體" w:cs="新細明體"/>
          <w:kern w:val="0"/>
          <w:szCs w:val="24"/>
        </w:rPr>
        <w:t>12-19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節宣佈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尼尼微被毀滅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是一定會發生的事：尼尼微的保障已失效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DB00FA">
        <w:rPr>
          <w:rFonts w:ascii="新細明體" w:eastAsia="新細明體" w:hAnsi="新細明體" w:cs="新細明體"/>
          <w:kern w:val="0"/>
          <w:szCs w:val="24"/>
        </w:rPr>
        <w:t>3:12-13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，一切的設施將領都不能發揮作用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DB00FA">
        <w:rPr>
          <w:rFonts w:ascii="新細明體" w:eastAsia="新細明體" w:hAnsi="新細明體" w:cs="新細明體"/>
          <w:kern w:val="0"/>
          <w:szCs w:val="24"/>
        </w:rPr>
        <w:t>3:14-19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DB00FA" w:rsidRPr="00DB00FA" w:rsidRDefault="00DB00FA" w:rsidP="00DB00F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B00FA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主題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本書的主題是維護神的公義，這個信息是向當代的以色列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人傳講的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  <w:t xml:space="preserve">5.1. 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神在歷史中啟示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的公義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亞述的強權維持了一個多世紀，她橫行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各處，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使受壓迫的民族生活困苦。在痛苦中的人不禁問：這個世界的主宰是誰呢？仍是公義全能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的神嗎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？神就在本書中證明：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會在歷史中啟示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的公義。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尼尼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微城代表所有敵擋神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和逼迫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子民的人，神對他們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嚴厲地施以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報應，因為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逼迫神子民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的，是等於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設惡計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攻擊神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DB00FA">
        <w:rPr>
          <w:rFonts w:ascii="新細明體" w:eastAsia="新細明體" w:hAnsi="新細明體" w:cs="新細明體"/>
          <w:kern w:val="0"/>
          <w:szCs w:val="24"/>
        </w:rPr>
        <w:t>1:11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，是神的仇敵。雖然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神曾揀選亞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述成為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的工具，用來刑罰頑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梗悖逆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的以色列，但是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堅持，亞述也要為它在執行任務時的過度殘暴負責任，所以亞述一定會被瓦解，虛假的神明與廟宇也不能夠拯救她。亞述在歷史中的失敗和毀滅，反映出罪惡必受刑罰、公義必得彰顯的真理。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lastRenderedPageBreak/>
        <w:t>敵擋神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和逼迫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子民的人，最終必被滅絕。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  <w:t xml:space="preserve">5.2. 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神用統一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的標準對付罪惡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我們要謹記神使用統一的標準來對付邪惡。就算是神自己的百姓，都不能夠免於審判。故此我們在痛斥敵對者的時候，也要自行審察，有沒有沾染罪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汙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，招惹神的忿怒。另外，那些不承認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的人，不要妄想能逃脫神的審判，終有一天，他們也要對自己的罪行負上責任。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  <w:t xml:space="preserve">5.3. 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神子民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仰望神的幫助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亞述統治猶大，使猶大失去自由。猶大在外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邦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壓制的陰影下惶恐不安，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先知那鴻出於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強烈的愛國情懷，祈求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神令外邦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的壓迫者敗亡，使猶大有獲救的可能，有復興的盼望。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神借著那鴻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所傳的信息，鼓勵百姓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一定可以把敵國徹底消滅的。今天教會面對著各種勢力或意識形態的脅迫，也只能像昔日的先知一樣，信靠那位</w:t>
      </w:r>
      <w:r w:rsidRPr="00DB00FA">
        <w:rPr>
          <w:rFonts w:ascii="新細明體" w:eastAsia="新細明體" w:hAnsi="新細明體" w:cs="新細明體"/>
          <w:kern w:val="0"/>
          <w:szCs w:val="24"/>
        </w:rPr>
        <w:t>“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大有能力</w:t>
      </w:r>
      <w:r w:rsidRPr="00DB00FA">
        <w:rPr>
          <w:rFonts w:ascii="新細明體" w:eastAsia="新細明體" w:hAnsi="新細明體" w:cs="新細明體"/>
          <w:kern w:val="0"/>
          <w:szCs w:val="24"/>
        </w:rPr>
        <w:t>”</w:t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的神。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神子民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的身份是寶貴的，因為有全能的神承諾成為我們的保護者。</w:t>
      </w:r>
      <w:r w:rsidRPr="00DB00FA">
        <w:rPr>
          <w:rFonts w:ascii="新細明體" w:eastAsia="新細明體" w:hAnsi="新細明體" w:cs="新細明體"/>
          <w:kern w:val="0"/>
          <w:szCs w:val="24"/>
        </w:rPr>
        <w:br/>
      </w:r>
      <w:r w:rsidRPr="00DB00FA">
        <w:rPr>
          <w:rFonts w:ascii="新細明體" w:eastAsia="新細明體" w:hAnsi="新細明體" w:cs="新細明體" w:hint="eastAsia"/>
          <w:kern w:val="0"/>
          <w:szCs w:val="24"/>
        </w:rPr>
        <w:t>神除了顧念以色列人，也顧念世界各國的人，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要猶大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成為報好信息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傳平安的群體。這個群體需要用親身的經歷向列國見證耶和華救贖的恩典。同樣的，教會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也是報好信息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傳平安的群體，我們要在世界上見證，</w:t>
      </w:r>
      <w:proofErr w:type="gramStart"/>
      <w:r w:rsidRPr="00DB00FA">
        <w:rPr>
          <w:rFonts w:ascii="新細明體" w:eastAsia="新細明體" w:hAnsi="新細明體" w:cs="新細明體" w:hint="eastAsia"/>
          <w:kern w:val="0"/>
          <w:szCs w:val="24"/>
        </w:rPr>
        <w:t>神是一位</w:t>
      </w:r>
      <w:proofErr w:type="gramEnd"/>
      <w:r w:rsidRPr="00DB00FA">
        <w:rPr>
          <w:rFonts w:ascii="新細明體" w:eastAsia="新細明體" w:hAnsi="新細明體" w:cs="新細明體" w:hint="eastAsia"/>
          <w:kern w:val="0"/>
          <w:szCs w:val="24"/>
        </w:rPr>
        <w:t>何等奇妙和大能的神。</w:t>
      </w:r>
    </w:p>
    <w:p w:rsidR="00EB4FBC" w:rsidRPr="00DB00FA" w:rsidRDefault="00DB00FA"/>
    <w:sectPr w:rsidR="00EB4FBC" w:rsidRPr="00DB0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92"/>
    <w:rsid w:val="003312FB"/>
    <w:rsid w:val="00417B5C"/>
    <w:rsid w:val="00476292"/>
    <w:rsid w:val="00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00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00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00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0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00FA"/>
  </w:style>
  <w:style w:type="paragraph" w:styleId="a4">
    <w:name w:val="Balloon Text"/>
    <w:basedOn w:val="a"/>
    <w:link w:val="a5"/>
    <w:uiPriority w:val="99"/>
    <w:semiHidden/>
    <w:unhideWhenUsed/>
    <w:rsid w:val="00DB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0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00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00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00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0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00FA"/>
  </w:style>
  <w:style w:type="paragraph" w:styleId="a4">
    <w:name w:val="Balloon Text"/>
    <w:basedOn w:val="a"/>
    <w:link w:val="a5"/>
    <w:uiPriority w:val="99"/>
    <w:semiHidden/>
    <w:unhideWhenUsed/>
    <w:rsid w:val="00DB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7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4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nah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2021-07-13T03:29:00Z</dcterms:created>
  <dcterms:modified xsi:type="dcterms:W3CDTF">2021-07-13T03:29:00Z</dcterms:modified>
</cp:coreProperties>
</file>