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A6" w:rsidRPr="009D43A6" w:rsidRDefault="009D43A6" w:rsidP="009D43A6">
      <w:pPr>
        <w:widowControl/>
        <w:spacing w:before="135" w:after="240" w:line="360" w:lineRule="atLeast"/>
        <w:outlineLvl w:val="1"/>
        <w:rPr>
          <w:rFonts w:ascii="inherit" w:eastAsia="新細明體" w:hAnsi="inherit" w:cs="新細明體"/>
          <w:b/>
          <w:bCs/>
          <w:kern w:val="0"/>
          <w:sz w:val="33"/>
          <w:szCs w:val="33"/>
        </w:rPr>
      </w:pPr>
      <w:r w:rsidRPr="009D43A6">
        <w:rPr>
          <w:rFonts w:ascii="inherit" w:eastAsia="新細明體" w:hAnsi="inherit" w:cs="新細明體" w:hint="eastAsia"/>
          <w:b/>
          <w:bCs/>
          <w:kern w:val="0"/>
          <w:sz w:val="33"/>
          <w:szCs w:val="33"/>
        </w:rPr>
        <w:t>第</w:t>
      </w:r>
      <w:r w:rsidRPr="009D43A6">
        <w:rPr>
          <w:rFonts w:ascii="inherit" w:eastAsia="新細明體" w:hAnsi="inherit" w:cs="新細明體" w:hint="eastAsia"/>
          <w:b/>
          <w:bCs/>
          <w:kern w:val="0"/>
          <w:sz w:val="33"/>
          <w:szCs w:val="33"/>
        </w:rPr>
        <w:t>1</w:t>
      </w:r>
      <w:r w:rsidRPr="009D43A6">
        <w:rPr>
          <w:rFonts w:ascii="inherit" w:eastAsia="新細明體" w:hAnsi="inherit" w:cs="新細明體" w:hint="eastAsia"/>
          <w:b/>
          <w:bCs/>
          <w:kern w:val="0"/>
          <w:sz w:val="33"/>
          <w:szCs w:val="33"/>
        </w:rPr>
        <w:t>講：導論</w:t>
      </w:r>
    </w:p>
    <w:p w:rsidR="009D43A6" w:rsidRPr="009D43A6" w:rsidRDefault="009D43A6" w:rsidP="009D43A6">
      <w:pPr>
        <w:widowControl/>
        <w:rPr>
          <w:rFonts w:ascii="新細明體" w:eastAsia="新細明體" w:hAnsi="新細明體" w:cs="新細明體"/>
          <w:kern w:val="0"/>
          <w:szCs w:val="24"/>
        </w:rPr>
      </w:pPr>
      <w:r w:rsidRPr="009D43A6">
        <w:rPr>
          <w:rFonts w:ascii="新細明體" w:eastAsia="新細明體" w:hAnsi="新細明體" w:cs="新細明體" w:hint="eastAsia"/>
          <w:kern w:val="0"/>
          <w:szCs w:val="24"/>
        </w:rPr>
        <w:t>系列：</w:t>
      </w:r>
      <w:hyperlink r:id="rId5" w:history="1">
        <w:r w:rsidRPr="009D43A6">
          <w:rPr>
            <w:rFonts w:ascii="新細明體" w:eastAsia="新細明體" w:hAnsi="新細明體" w:cs="新細明體" w:hint="eastAsia"/>
            <w:kern w:val="0"/>
            <w:szCs w:val="24"/>
          </w:rPr>
          <w:t>哈該書</w:t>
        </w:r>
      </w:hyperlink>
    </w:p>
    <w:p w:rsidR="009D43A6" w:rsidRPr="009D43A6" w:rsidRDefault="009D43A6" w:rsidP="009D43A6">
      <w:pPr>
        <w:widowControl/>
        <w:spacing w:after="240"/>
        <w:rPr>
          <w:rFonts w:ascii="新細明體" w:eastAsia="新細明體" w:hAnsi="新細明體" w:cs="新細明體"/>
          <w:kern w:val="0"/>
          <w:szCs w:val="24"/>
        </w:rPr>
      </w:pPr>
      <w:r w:rsidRPr="009D43A6">
        <w:rPr>
          <w:rFonts w:ascii="新細明體" w:eastAsia="新細明體" w:hAnsi="新細明體" w:cs="新細明體" w:hint="eastAsia"/>
          <w:kern w:val="0"/>
          <w:szCs w:val="24"/>
        </w:rPr>
        <w:t>講員：文惠</w:t>
      </w:r>
    </w:p>
    <w:p w:rsidR="009D43A6" w:rsidRPr="009D43A6" w:rsidRDefault="009D43A6" w:rsidP="009D43A6">
      <w:pPr>
        <w:widowControl/>
        <w:spacing w:after="240"/>
        <w:rPr>
          <w:rFonts w:ascii="新細明體" w:eastAsia="新細明體" w:hAnsi="新細明體" w:cs="新細明體"/>
          <w:kern w:val="0"/>
          <w:szCs w:val="24"/>
        </w:rPr>
      </w:pPr>
      <w:bookmarkStart w:id="0" w:name="_GoBack"/>
      <w:bookmarkEnd w:id="0"/>
      <w:r w:rsidRPr="009D43A6">
        <w:rPr>
          <w:rFonts w:ascii="新細明體" w:eastAsia="新細明體" w:hAnsi="新細明體" w:cs="新細明體"/>
          <w:kern w:val="0"/>
          <w:szCs w:val="24"/>
        </w:rPr>
        <w:t xml:space="preserve">1. </w:t>
      </w:r>
      <w:r w:rsidRPr="009D43A6">
        <w:rPr>
          <w:rFonts w:ascii="新細明體" w:eastAsia="新細明體" w:hAnsi="新細明體" w:cs="新細明體" w:hint="eastAsia"/>
          <w:kern w:val="0"/>
          <w:szCs w:val="24"/>
        </w:rPr>
        <w:t>大小先知書的定義</w:t>
      </w:r>
      <w:r w:rsidRPr="009D43A6">
        <w:rPr>
          <w:rFonts w:ascii="新細明體" w:eastAsia="新細明體" w:hAnsi="新細明體" w:cs="新細明體"/>
          <w:kern w:val="0"/>
          <w:szCs w:val="24"/>
        </w:rPr>
        <w:br/>
        <w:t>“</w:t>
      </w:r>
      <w:r w:rsidRPr="009D43A6">
        <w:rPr>
          <w:rFonts w:ascii="新細明體" w:eastAsia="新細明體" w:hAnsi="新細明體" w:cs="新細明體" w:hint="eastAsia"/>
          <w:kern w:val="0"/>
          <w:szCs w:val="24"/>
        </w:rPr>
        <w:t>小先知書</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之所以稱為</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小先知書</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，不是因為那位先知的地位低微，或是他的信息比較次要，而是指先知書卷的篇幅比較短小。除了俄巴底亞書，哈該書是舊約聖經最簡短的書了。然而，它蘊藏著與今日信徒息息相關，豐富深遠的啟示。</w:t>
      </w:r>
    </w:p>
    <w:p w:rsidR="009D43A6" w:rsidRPr="009D43A6" w:rsidRDefault="009D43A6" w:rsidP="009D43A6">
      <w:pPr>
        <w:widowControl/>
        <w:spacing w:after="240"/>
        <w:rPr>
          <w:rFonts w:ascii="新細明體" w:eastAsia="新細明體" w:hAnsi="新細明體" w:cs="新細明體"/>
          <w:kern w:val="0"/>
          <w:szCs w:val="24"/>
        </w:rPr>
      </w:pPr>
      <w:r w:rsidRPr="009D43A6">
        <w:rPr>
          <w:rFonts w:ascii="新細明體" w:eastAsia="新細明體" w:hAnsi="新細明體" w:cs="新細明體"/>
          <w:kern w:val="0"/>
          <w:szCs w:val="24"/>
        </w:rPr>
        <w:t xml:space="preserve">2. </w:t>
      </w:r>
      <w:r w:rsidRPr="009D43A6">
        <w:rPr>
          <w:rFonts w:ascii="新細明體" w:eastAsia="新細明體" w:hAnsi="新細明體" w:cs="新細明體" w:hint="eastAsia"/>
          <w:kern w:val="0"/>
          <w:szCs w:val="24"/>
        </w:rPr>
        <w:t>歷史背景</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t>公元前</w:t>
      </w:r>
      <w:r w:rsidRPr="009D43A6">
        <w:rPr>
          <w:rFonts w:ascii="新細明體" w:eastAsia="新細明體" w:hAnsi="新細明體" w:cs="新細明體"/>
          <w:kern w:val="0"/>
          <w:szCs w:val="24"/>
        </w:rPr>
        <w:t>586</w:t>
      </w:r>
      <w:r w:rsidRPr="009D43A6">
        <w:rPr>
          <w:rFonts w:ascii="新細明體" w:eastAsia="新細明體" w:hAnsi="新細明體" w:cs="新細明體" w:hint="eastAsia"/>
          <w:kern w:val="0"/>
          <w:szCs w:val="24"/>
        </w:rPr>
        <w:t>年巴比倫王尼布甲尼撒攻下耶路撒冷，聖殿被焚燒，徹底毀壞。猶大國破家亡，王室貴冑與大部分的百姓都被擄，放逐到巴比倫。其後，巴比倫為瑪代波斯所滅。波斯王古列為安撫民心，於公元前</w:t>
      </w:r>
      <w:r w:rsidRPr="009D43A6">
        <w:rPr>
          <w:rFonts w:ascii="新細明體" w:eastAsia="新細明體" w:hAnsi="新細明體" w:cs="新細明體"/>
          <w:kern w:val="0"/>
          <w:szCs w:val="24"/>
        </w:rPr>
        <w:t>538</w:t>
      </w:r>
      <w:r w:rsidRPr="009D43A6">
        <w:rPr>
          <w:rFonts w:ascii="新細明體" w:eastAsia="新細明體" w:hAnsi="新細明體" w:cs="新細明體" w:hint="eastAsia"/>
          <w:kern w:val="0"/>
          <w:szCs w:val="24"/>
        </w:rPr>
        <w:t>年，就是在被擄後大約五十年，下詔允准猶太人回歸巴勒斯坦，重建聖殿。根據拉</w:t>
      </w:r>
      <w:r w:rsidRPr="009D43A6">
        <w:rPr>
          <w:rFonts w:ascii="新細明體" w:eastAsia="新細明體" w:hAnsi="新細明體" w:cs="新細明體"/>
          <w:kern w:val="0"/>
          <w:szCs w:val="24"/>
        </w:rPr>
        <w:t>3:8-10</w:t>
      </w:r>
      <w:r w:rsidRPr="009D43A6">
        <w:rPr>
          <w:rFonts w:ascii="新細明體" w:eastAsia="新細明體" w:hAnsi="新細明體" w:cs="新細明體" w:hint="eastAsia"/>
          <w:kern w:val="0"/>
          <w:szCs w:val="24"/>
        </w:rPr>
        <w:t>，當時在所羅巴伯領導下，五萬猶太餘民回到耶路撒冷，並且迅速在數月內立好了殿的根基。然而，公元前第八世紀北國以色列被亞述滅了以後，一直留住在巴勒斯坦地的撒瑪利亞人意識到聖殿在政治上的重要性，就要求與回歸者一同重建聖殿。這些人不但與外邦人通婚，血統混雜，而且在宗教信仰上也摻合敬奉諸多的外邦神明。所羅巴伯和其他以色列族長都拒絕撒瑪利亞人的參與。他們被拒絕後就刻意阻撓，賄賂謀士，不斷破壞重建的工作；又上告朝廷，強迫猶太人停工。拉</w:t>
      </w:r>
      <w:r w:rsidRPr="009D43A6">
        <w:rPr>
          <w:rFonts w:ascii="新細明體" w:eastAsia="新細明體" w:hAnsi="新細明體" w:cs="新細明體"/>
          <w:kern w:val="0"/>
          <w:szCs w:val="24"/>
        </w:rPr>
        <w:t>4-6</w:t>
      </w:r>
      <w:r w:rsidRPr="009D43A6">
        <w:rPr>
          <w:rFonts w:ascii="新細明體" w:eastAsia="新細明體" w:hAnsi="新細明體" w:cs="新細明體" w:hint="eastAsia"/>
          <w:kern w:val="0"/>
          <w:szCs w:val="24"/>
        </w:rPr>
        <w:t>章，記載的就是哈該書的背景。</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t>回歸的人，一方面要面對原住民反對的壓力和干擾；另一方面又要在百廢待舉的荒涼中重建家園，實在是過著滿有挑戰與試煉的艱難日子。聖殿的重建在敵對和攻擊之下被耽擱了十六年；一直到公元前</w:t>
      </w:r>
      <w:r w:rsidRPr="009D43A6">
        <w:rPr>
          <w:rFonts w:ascii="新細明體" w:eastAsia="新細明體" w:hAnsi="新細明體" w:cs="新細明體"/>
          <w:kern w:val="0"/>
          <w:szCs w:val="24"/>
        </w:rPr>
        <w:t>520</w:t>
      </w:r>
      <w:r w:rsidRPr="009D43A6">
        <w:rPr>
          <w:rFonts w:ascii="新細明體" w:eastAsia="新細明體" w:hAnsi="新細明體" w:cs="新細明體" w:hint="eastAsia"/>
          <w:kern w:val="0"/>
          <w:szCs w:val="24"/>
        </w:rPr>
        <w:t>年。這個時候的猶太人已經習慣於沒有聖殿敬拜的生活，對重建聖殿的工作正處於麻木昏沈的意識之中；各人只顧滿足自己的生活。對於耶和華應許彌賽亞來臨復興以色列國的盼望，已茫然失落於黯淡之中。該</w:t>
      </w:r>
      <w:r w:rsidRPr="009D43A6">
        <w:rPr>
          <w:rFonts w:ascii="新細明體" w:eastAsia="新細明體" w:hAnsi="新細明體" w:cs="新細明體"/>
          <w:kern w:val="0"/>
          <w:szCs w:val="24"/>
        </w:rPr>
        <w:t>2:16-19</w:t>
      </w:r>
      <w:r w:rsidRPr="009D43A6">
        <w:rPr>
          <w:rFonts w:ascii="新細明體" w:eastAsia="新細明體" w:hAnsi="新細明體" w:cs="新細明體" w:hint="eastAsia"/>
          <w:kern w:val="0"/>
          <w:szCs w:val="24"/>
        </w:rPr>
        <w:t>的描述讓我們知道當時是天災連綿，農耕失收，回歸的猶太人過著的不是享通順暢，而是困乏艱苦的日子。</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t>就在這時候，神的話語藉先知哈該臨到以色列的領袖和余民百姓。</w:t>
      </w:r>
    </w:p>
    <w:p w:rsidR="009D43A6" w:rsidRPr="009D43A6" w:rsidRDefault="009D43A6" w:rsidP="009D43A6">
      <w:pPr>
        <w:widowControl/>
        <w:spacing w:after="240"/>
        <w:rPr>
          <w:rFonts w:ascii="新細明體" w:eastAsia="新細明體" w:hAnsi="新細明體" w:cs="新細明體"/>
          <w:kern w:val="0"/>
          <w:szCs w:val="24"/>
        </w:rPr>
      </w:pPr>
      <w:r w:rsidRPr="009D43A6">
        <w:rPr>
          <w:rFonts w:ascii="新細明體" w:eastAsia="新細明體" w:hAnsi="新細明體" w:cs="新細明體"/>
          <w:kern w:val="0"/>
          <w:szCs w:val="24"/>
        </w:rPr>
        <w:t xml:space="preserve">3. </w:t>
      </w:r>
      <w:r w:rsidRPr="009D43A6">
        <w:rPr>
          <w:rFonts w:ascii="新細明體" w:eastAsia="新細明體" w:hAnsi="新細明體" w:cs="新細明體" w:hint="eastAsia"/>
          <w:kern w:val="0"/>
          <w:szCs w:val="24"/>
        </w:rPr>
        <w:t>先知的生平</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t>對於先知哈該我們知道的極少。拉</w:t>
      </w:r>
      <w:r w:rsidRPr="009D43A6">
        <w:rPr>
          <w:rFonts w:ascii="新細明體" w:eastAsia="新細明體" w:hAnsi="新細明體" w:cs="新細明體"/>
          <w:kern w:val="0"/>
          <w:szCs w:val="24"/>
        </w:rPr>
        <w:t>5:1</w:t>
      </w:r>
      <w:r w:rsidRPr="009D43A6">
        <w:rPr>
          <w:rFonts w:ascii="新細明體" w:eastAsia="新細明體" w:hAnsi="新細明體" w:cs="新細明體" w:hint="eastAsia"/>
          <w:kern w:val="0"/>
          <w:szCs w:val="24"/>
        </w:rPr>
        <w:t>和</w:t>
      </w:r>
      <w:r w:rsidRPr="009D43A6">
        <w:rPr>
          <w:rFonts w:ascii="新細明體" w:eastAsia="新細明體" w:hAnsi="新細明體" w:cs="新細明體"/>
          <w:kern w:val="0"/>
          <w:szCs w:val="24"/>
        </w:rPr>
        <w:t>6:14</w:t>
      </w:r>
      <w:r w:rsidRPr="009D43A6">
        <w:rPr>
          <w:rFonts w:ascii="新細明體" w:eastAsia="新細明體" w:hAnsi="新細明體" w:cs="新細明體" w:hint="eastAsia"/>
          <w:kern w:val="0"/>
          <w:szCs w:val="24"/>
        </w:rPr>
        <w:t>兩次提到哈該及易多的孫子，就是我們稱他為</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小先知</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的撒迦利亞。哈該與撒迦利亞同時在大利烏王第二年說預言，但是撒迦利亞的信息範圍更廣、預言的時日更長一些。雖然兩位先知彼此沒有提及對方，但他們都是大力勸勉被擄回歸的人完成建造聖殿。所以撒迦利亞書第一到第八章與哈該書是同時期相關的信息。</w:t>
      </w:r>
      <w:r w:rsidRPr="009D43A6">
        <w:rPr>
          <w:rFonts w:ascii="新細明體" w:eastAsia="新細明體" w:hAnsi="新細明體" w:cs="新細明體"/>
          <w:kern w:val="0"/>
          <w:szCs w:val="24"/>
        </w:rPr>
        <w:br/>
        <w:t>“</w:t>
      </w:r>
      <w:r w:rsidRPr="009D43A6">
        <w:rPr>
          <w:rFonts w:ascii="新細明體" w:eastAsia="新細明體" w:hAnsi="新細明體" w:cs="新細明體" w:hint="eastAsia"/>
          <w:kern w:val="0"/>
          <w:szCs w:val="24"/>
        </w:rPr>
        <w:t>哈該</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這個名字是</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節慶</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的意思，也許哈該</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lastRenderedPageBreak/>
        <w:t>是適逢節日而生亦未可知。但他的曉諭主要是六月初一的新月節和七月中的住棚節宣講的，所以</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哈該</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也可能是指他是</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屬節慶的先知</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t>猶太人傳統相信哈該是在年少的時候被擄到巴比倫的。根據該</w:t>
      </w:r>
      <w:r w:rsidRPr="009D43A6">
        <w:rPr>
          <w:rFonts w:ascii="新細明體" w:eastAsia="新細明體" w:hAnsi="新細明體" w:cs="新細明體"/>
          <w:kern w:val="0"/>
          <w:szCs w:val="24"/>
        </w:rPr>
        <w:t>2:3</w:t>
      </w:r>
      <w:r w:rsidRPr="009D43A6">
        <w:rPr>
          <w:rFonts w:ascii="新細明體" w:eastAsia="新細明體" w:hAnsi="新細明體" w:cs="新細明體" w:hint="eastAsia"/>
          <w:kern w:val="0"/>
          <w:szCs w:val="24"/>
        </w:rPr>
        <w:t>，哈該很可能是</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見過前聖殿榮耀</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的人，果真如此，那麼哈該說預言的時候大概已經八十多歲。也許這就是為什麼聖經再沒有其他關於哈該的記載的原因。</w:t>
      </w:r>
    </w:p>
    <w:p w:rsidR="009D43A6" w:rsidRPr="009D43A6" w:rsidRDefault="009D43A6" w:rsidP="009D43A6">
      <w:pPr>
        <w:widowControl/>
        <w:spacing w:after="240"/>
        <w:rPr>
          <w:rFonts w:ascii="新細明體" w:eastAsia="新細明體" w:hAnsi="新細明體" w:cs="新細明體"/>
          <w:kern w:val="0"/>
          <w:szCs w:val="24"/>
        </w:rPr>
      </w:pPr>
      <w:r w:rsidRPr="009D43A6">
        <w:rPr>
          <w:rFonts w:ascii="新細明體" w:eastAsia="新細明體" w:hAnsi="新細明體" w:cs="新細明體"/>
          <w:kern w:val="0"/>
          <w:szCs w:val="24"/>
        </w:rPr>
        <w:t xml:space="preserve">4. </w:t>
      </w:r>
      <w:r w:rsidRPr="009D43A6">
        <w:rPr>
          <w:rFonts w:ascii="新細明體" w:eastAsia="新細明體" w:hAnsi="新細明體" w:cs="新細明體" w:hint="eastAsia"/>
          <w:kern w:val="0"/>
          <w:szCs w:val="24"/>
        </w:rPr>
        <w:t>哈該書的主題信息</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t>先知奉耶和華神的權柄勸勉被擄回歸的人要完成重建聖殿的工作；並且重申應許神最終要復興大衛的苗裔，賜福祂的子民。</w:t>
      </w:r>
      <w:r w:rsidRPr="009D43A6">
        <w:rPr>
          <w:rFonts w:ascii="新細明體" w:eastAsia="新細明體" w:hAnsi="新細明體" w:cs="新細明體"/>
          <w:kern w:val="0"/>
          <w:szCs w:val="24"/>
        </w:rPr>
        <w:br/>
        <w:t>1:7-8</w:t>
      </w:r>
      <w:r w:rsidRPr="009D43A6">
        <w:rPr>
          <w:rFonts w:ascii="新細明體" w:eastAsia="新細明體" w:hAnsi="新細明體" w:cs="新細明體" w:hint="eastAsia"/>
          <w:kern w:val="0"/>
          <w:szCs w:val="24"/>
        </w:rPr>
        <w:t>和</w:t>
      </w:r>
      <w:r w:rsidRPr="009D43A6">
        <w:rPr>
          <w:rFonts w:ascii="新細明體" w:eastAsia="新細明體" w:hAnsi="新細明體" w:cs="新細明體"/>
          <w:kern w:val="0"/>
          <w:szCs w:val="24"/>
        </w:rPr>
        <w:t>2:7-9</w:t>
      </w:r>
      <w:r w:rsidRPr="009D43A6">
        <w:rPr>
          <w:rFonts w:ascii="新細明體" w:eastAsia="新細明體" w:hAnsi="新細明體" w:cs="新細明體" w:hint="eastAsia"/>
          <w:kern w:val="0"/>
          <w:szCs w:val="24"/>
        </w:rPr>
        <w:t>是哈該書的鑰節。</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t>神的子民因屬靈的冷漠使他們滯留在失落沮喪之中，進而陷進了一個屬靈的危機；失去了對屬靈事情的敏銳觸覺。神借著先知責備他們要省察自己的行為，要滿足神的喜樂，起來建造聖殿。神重申祂大有能力的應許，末後的彌賽亞必要榮耀的來臨，傾覆列國，建立屬祂的國度與王權。這就是哈該書的主題信息。</w:t>
      </w:r>
    </w:p>
    <w:p w:rsidR="009D43A6" w:rsidRPr="009D43A6" w:rsidRDefault="009D43A6" w:rsidP="009D43A6">
      <w:pPr>
        <w:widowControl/>
        <w:spacing w:after="240"/>
        <w:rPr>
          <w:rFonts w:ascii="新細明體" w:eastAsia="新細明體" w:hAnsi="新細明體" w:cs="新細明體"/>
          <w:kern w:val="0"/>
          <w:szCs w:val="24"/>
        </w:rPr>
      </w:pPr>
      <w:r w:rsidRPr="009D43A6">
        <w:rPr>
          <w:rFonts w:ascii="新細明體" w:eastAsia="新細明體" w:hAnsi="新細明體" w:cs="新細明體"/>
          <w:kern w:val="0"/>
          <w:szCs w:val="24"/>
        </w:rPr>
        <w:t xml:space="preserve">5. </w:t>
      </w:r>
      <w:r w:rsidRPr="009D43A6">
        <w:rPr>
          <w:rFonts w:ascii="新細明體" w:eastAsia="新細明體" w:hAnsi="新細明體" w:cs="新細明體" w:hint="eastAsia"/>
          <w:kern w:val="0"/>
          <w:szCs w:val="24"/>
        </w:rPr>
        <w:t>哈該書的體栽、特色和內容大綱</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t>哈該書是用散文記敘體裁寫成，很直接簡潔地向回歸的猶太人宣示了四次的神諭。哈該書有五個特色。</w:t>
      </w:r>
      <w:r w:rsidRPr="009D43A6">
        <w:rPr>
          <w:rFonts w:ascii="新細明體" w:eastAsia="新細明體" w:hAnsi="新細明體" w:cs="新細明體"/>
          <w:kern w:val="0"/>
          <w:szCs w:val="24"/>
        </w:rPr>
        <w:br/>
        <w:t xml:space="preserve">5.1. </w:t>
      </w:r>
      <w:r w:rsidRPr="009D43A6">
        <w:rPr>
          <w:rFonts w:ascii="新細明體" w:eastAsia="新細明體" w:hAnsi="新細明體" w:cs="新細明體" w:hint="eastAsia"/>
          <w:kern w:val="0"/>
          <w:szCs w:val="24"/>
        </w:rPr>
        <w:t>它很清楚明確地記載了先知說預言的日期；並且重複使用同一個片語作為每一個曉諭的開始。</w:t>
      </w:r>
      <w:r w:rsidRPr="009D43A6">
        <w:rPr>
          <w:rFonts w:ascii="新細明體" w:eastAsia="新細明體" w:hAnsi="新細明體" w:cs="新細明體"/>
          <w:kern w:val="0"/>
          <w:szCs w:val="24"/>
        </w:rPr>
        <w:t>1:3</w:t>
      </w:r>
      <w:r w:rsidRPr="009D43A6">
        <w:rPr>
          <w:rFonts w:ascii="新細明體" w:eastAsia="新細明體" w:hAnsi="新細明體" w:cs="新細明體" w:hint="eastAsia"/>
          <w:kern w:val="0"/>
          <w:szCs w:val="24"/>
        </w:rPr>
        <w:t>，</w:t>
      </w:r>
      <w:r w:rsidRPr="009D43A6">
        <w:rPr>
          <w:rFonts w:ascii="新細明體" w:eastAsia="新細明體" w:hAnsi="新細明體" w:cs="新細明體"/>
          <w:kern w:val="0"/>
          <w:szCs w:val="24"/>
        </w:rPr>
        <w:t>2:1</w:t>
      </w:r>
      <w:r w:rsidRPr="009D43A6">
        <w:rPr>
          <w:rFonts w:ascii="新細明體" w:eastAsia="新細明體" w:hAnsi="新細明體" w:cs="新細明體" w:hint="eastAsia"/>
          <w:kern w:val="0"/>
          <w:szCs w:val="24"/>
        </w:rPr>
        <w:t>、</w:t>
      </w:r>
      <w:r w:rsidRPr="009D43A6">
        <w:rPr>
          <w:rFonts w:ascii="新細明體" w:eastAsia="新細明體" w:hAnsi="新細明體" w:cs="新細明體"/>
          <w:kern w:val="0"/>
          <w:szCs w:val="24"/>
        </w:rPr>
        <w:t>10</w:t>
      </w:r>
      <w:r w:rsidRPr="009D43A6">
        <w:rPr>
          <w:rFonts w:ascii="新細明體" w:eastAsia="新細明體" w:hAnsi="新細明體" w:cs="新細明體" w:hint="eastAsia"/>
          <w:kern w:val="0"/>
          <w:szCs w:val="24"/>
        </w:rPr>
        <w:t>、</w:t>
      </w:r>
      <w:r w:rsidRPr="009D43A6">
        <w:rPr>
          <w:rFonts w:ascii="新細明體" w:eastAsia="新細明體" w:hAnsi="新細明體" w:cs="新細明體"/>
          <w:kern w:val="0"/>
          <w:szCs w:val="24"/>
        </w:rPr>
        <w:t>20</w:t>
      </w:r>
      <w:r w:rsidRPr="009D43A6">
        <w:rPr>
          <w:rFonts w:ascii="新細明體" w:eastAsia="新細明體" w:hAnsi="新細明體" w:cs="新細明體" w:hint="eastAsia"/>
          <w:kern w:val="0"/>
          <w:szCs w:val="24"/>
        </w:rPr>
        <w:t>都以</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耶和華的話臨到先知哈該</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這句話開始了先知的宣講。因此，哈該書的內容分段十分鮮明。</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t>第</w:t>
      </w:r>
      <w:r w:rsidRPr="009D43A6">
        <w:rPr>
          <w:rFonts w:ascii="新細明體" w:eastAsia="新細明體" w:hAnsi="新細明體" w:cs="新細明體"/>
          <w:kern w:val="0"/>
          <w:szCs w:val="24"/>
        </w:rPr>
        <w:t>1</w:t>
      </w:r>
      <w:r w:rsidRPr="009D43A6">
        <w:rPr>
          <w:rFonts w:ascii="新細明體" w:eastAsia="新細明體" w:hAnsi="新細明體" w:cs="新細明體" w:hint="eastAsia"/>
          <w:kern w:val="0"/>
          <w:szCs w:val="24"/>
        </w:rPr>
        <w:t>章是先知的第一個曉諭。這個曉諭分三部分：</w:t>
      </w:r>
      <w:r w:rsidRPr="009D43A6">
        <w:rPr>
          <w:rFonts w:ascii="新細明體" w:eastAsia="新細明體" w:hAnsi="新細明體" w:cs="新細明體"/>
          <w:kern w:val="0"/>
          <w:szCs w:val="24"/>
        </w:rPr>
        <w:br/>
        <w:t>1:1-2</w:t>
      </w:r>
      <w:r w:rsidRPr="009D43A6">
        <w:rPr>
          <w:rFonts w:ascii="新細明體" w:eastAsia="新細明體" w:hAnsi="新細明體" w:cs="新細明體" w:hint="eastAsia"/>
          <w:kern w:val="0"/>
          <w:szCs w:val="24"/>
        </w:rPr>
        <w:t>引言：神向百姓們的政治領袖所羅巴伯，和宗教領袖約書亞，質疑他們推搪不建造聖殿的藉口。</w:t>
      </w:r>
      <w:r w:rsidRPr="009D43A6">
        <w:rPr>
          <w:rFonts w:ascii="新細明體" w:eastAsia="新細明體" w:hAnsi="新細明體" w:cs="新細明體"/>
          <w:kern w:val="0"/>
          <w:szCs w:val="24"/>
        </w:rPr>
        <w:br/>
        <w:t>1:3-11</w:t>
      </w:r>
      <w:r w:rsidRPr="009D43A6">
        <w:rPr>
          <w:rFonts w:ascii="新細明體" w:eastAsia="新細明體" w:hAnsi="新細明體" w:cs="新細明體" w:hint="eastAsia"/>
          <w:kern w:val="0"/>
          <w:szCs w:val="24"/>
        </w:rPr>
        <w:t>內容：先知指責被擄回歸的人不要只顧滿足自己的生活而使神的殿荒涼。神定意要與祂的子民同在；他們應當起來完成重建聖殿的工作。</w:t>
      </w:r>
      <w:r w:rsidRPr="009D43A6">
        <w:rPr>
          <w:rFonts w:ascii="新細明體" w:eastAsia="新細明體" w:hAnsi="新細明體" w:cs="新細明體"/>
          <w:kern w:val="0"/>
          <w:szCs w:val="24"/>
        </w:rPr>
        <w:br/>
        <w:t>1:12-15</w:t>
      </w:r>
      <w:r w:rsidRPr="009D43A6">
        <w:rPr>
          <w:rFonts w:ascii="新細明體" w:eastAsia="新細明體" w:hAnsi="新細明體" w:cs="新細明體" w:hint="eastAsia"/>
          <w:kern w:val="0"/>
          <w:szCs w:val="24"/>
        </w:rPr>
        <w:t>果效：所羅巴伯和約書亞聽了先知的話就領導百姓回應，起來為神的殿作工。神就以與他們同在的應許來安慰、鼓勵他們。</w:t>
      </w:r>
      <w:r w:rsidRPr="009D43A6">
        <w:rPr>
          <w:rFonts w:ascii="新細明體" w:eastAsia="新細明體" w:hAnsi="新細明體" w:cs="新細明體"/>
          <w:kern w:val="0"/>
          <w:szCs w:val="24"/>
        </w:rPr>
        <w:br/>
        <w:t>2:1-9</w:t>
      </w:r>
      <w:r w:rsidRPr="009D43A6">
        <w:rPr>
          <w:rFonts w:ascii="新細明體" w:eastAsia="新細明體" w:hAnsi="新細明體" w:cs="新細明體" w:hint="eastAsia"/>
          <w:kern w:val="0"/>
          <w:szCs w:val="24"/>
        </w:rPr>
        <w:t>第二個曉諭，激勵全民要上下一心，剛強壯膽完成工作，因為神要賜平安給他們；神的殿比先前要得更大的榮耀。</w:t>
      </w:r>
      <w:r w:rsidRPr="009D43A6">
        <w:rPr>
          <w:rFonts w:ascii="新細明體" w:eastAsia="新細明體" w:hAnsi="新細明體" w:cs="新細明體"/>
          <w:kern w:val="0"/>
          <w:szCs w:val="24"/>
        </w:rPr>
        <w:br/>
        <w:t>2:10-19</w:t>
      </w:r>
      <w:r w:rsidRPr="009D43A6">
        <w:rPr>
          <w:rFonts w:ascii="新細明體" w:eastAsia="新細明體" w:hAnsi="新細明體" w:cs="新細明體" w:hint="eastAsia"/>
          <w:kern w:val="0"/>
          <w:szCs w:val="24"/>
        </w:rPr>
        <w:t>第三個曉諭，警惕神的子民要分別為聖，過聖潔的生活，神必賜福給他們</w:t>
      </w:r>
      <w:r w:rsidRPr="009D43A6">
        <w:rPr>
          <w:rFonts w:ascii="新細明體" w:eastAsia="新細明體" w:hAnsi="新細明體" w:cs="新細明體"/>
          <w:kern w:val="0"/>
          <w:szCs w:val="24"/>
        </w:rPr>
        <w:br/>
        <w:t>2:20-23</w:t>
      </w:r>
      <w:r w:rsidRPr="009D43A6">
        <w:rPr>
          <w:rFonts w:ascii="新細明體" w:eastAsia="新細明體" w:hAnsi="新細明體" w:cs="新細明體" w:hint="eastAsia"/>
          <w:kern w:val="0"/>
          <w:szCs w:val="24"/>
        </w:rPr>
        <w:t>第四個曉諭，重申神的應許：上主的僕人，末了的彌賽亞將來臨復興祂子民的國度和大衛的王權。</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t>這樣，在波斯王大利烏第二年，也就是在公元前</w:t>
      </w:r>
      <w:r w:rsidRPr="009D43A6">
        <w:rPr>
          <w:rFonts w:ascii="新細明體" w:eastAsia="新細明體" w:hAnsi="新細明體" w:cs="新細明體"/>
          <w:kern w:val="0"/>
          <w:szCs w:val="24"/>
        </w:rPr>
        <w:t>520</w:t>
      </w:r>
      <w:r w:rsidRPr="009D43A6">
        <w:rPr>
          <w:rFonts w:ascii="新細明體" w:eastAsia="新細明體" w:hAnsi="新細明體" w:cs="新細明體" w:hint="eastAsia"/>
          <w:kern w:val="0"/>
          <w:szCs w:val="24"/>
        </w:rPr>
        <w:t>年，從六月到九月，四個月內，先知哈該奉耶和華神的差遣向回歸耶路撒冷的以色列余民傳達了四個曉諭。</w:t>
      </w:r>
      <w:r w:rsidRPr="009D43A6">
        <w:rPr>
          <w:rFonts w:ascii="新細明體" w:eastAsia="新細明體" w:hAnsi="新細明體" w:cs="新細明體"/>
          <w:kern w:val="0"/>
          <w:szCs w:val="24"/>
        </w:rPr>
        <w:br/>
        <w:t xml:space="preserve">5.2. </w:t>
      </w:r>
      <w:r w:rsidRPr="009D43A6">
        <w:rPr>
          <w:rFonts w:ascii="新細明體" w:eastAsia="新細明體" w:hAnsi="新細明體" w:cs="新細明體" w:hint="eastAsia"/>
          <w:kern w:val="0"/>
          <w:szCs w:val="24"/>
        </w:rPr>
        <w:t>哈該書的第二個特色就是多用修辭上的提問；就是用明知故問的方式，用發問來觸動聽眾的深思和自責。哈該幾乎每一個信息都是以一個提問開始他的宣講。例如：</w:t>
      </w:r>
      <w:r w:rsidRPr="009D43A6">
        <w:rPr>
          <w:rFonts w:ascii="新細明體" w:eastAsia="新細明體" w:hAnsi="新細明體" w:cs="新細明體"/>
          <w:kern w:val="0"/>
          <w:szCs w:val="24"/>
        </w:rPr>
        <w:t>1:4</w:t>
      </w:r>
      <w:r w:rsidRPr="009D43A6">
        <w:rPr>
          <w:rFonts w:ascii="新細明體" w:eastAsia="新細明體" w:hAnsi="新細明體" w:cs="新細明體" w:hint="eastAsia"/>
          <w:kern w:val="0"/>
          <w:szCs w:val="24"/>
        </w:rPr>
        <w:t>問：</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這殿仍然荒涼、你們自己還住天花板的房屋麼？</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就是叫百姓</w:t>
      </w:r>
      <w:r w:rsidRPr="009D43A6">
        <w:rPr>
          <w:rFonts w:ascii="新細明體" w:eastAsia="新細明體" w:hAnsi="新細明體" w:cs="新細明體" w:hint="eastAsia"/>
          <w:kern w:val="0"/>
          <w:szCs w:val="24"/>
        </w:rPr>
        <w:lastRenderedPageBreak/>
        <w:t>反省他們對神的冷漠，醒悟自己的屬靈光景。</w:t>
      </w:r>
      <w:r w:rsidRPr="009D43A6">
        <w:rPr>
          <w:rFonts w:ascii="新細明體" w:eastAsia="新細明體" w:hAnsi="新細明體" w:cs="新細明體"/>
          <w:kern w:val="0"/>
          <w:szCs w:val="24"/>
        </w:rPr>
        <w:br/>
        <w:t xml:space="preserve">5.3. </w:t>
      </w:r>
      <w:r w:rsidRPr="009D43A6">
        <w:rPr>
          <w:rFonts w:ascii="新細明體" w:eastAsia="新細明體" w:hAnsi="新細明體" w:cs="新細明體" w:hint="eastAsia"/>
          <w:kern w:val="0"/>
          <w:szCs w:val="24"/>
        </w:rPr>
        <w:t>哈該書的第三個特色就是常用重複的字眼或句子強調信息的重點。例如：</w:t>
      </w:r>
      <w:r w:rsidRPr="009D43A6">
        <w:rPr>
          <w:rFonts w:ascii="新細明體" w:eastAsia="新細明體" w:hAnsi="新細明體" w:cs="新細明體"/>
          <w:kern w:val="0"/>
          <w:szCs w:val="24"/>
        </w:rPr>
        <w:t>1:5</w:t>
      </w:r>
      <w:r w:rsidRPr="009D43A6">
        <w:rPr>
          <w:rFonts w:ascii="新細明體" w:eastAsia="新細明體" w:hAnsi="新細明體" w:cs="新細明體" w:hint="eastAsia"/>
          <w:kern w:val="0"/>
          <w:szCs w:val="24"/>
        </w:rPr>
        <w:t>：</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你們要省察自己的行為</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，接著第</w:t>
      </w:r>
      <w:r w:rsidRPr="009D43A6">
        <w:rPr>
          <w:rFonts w:ascii="新細明體" w:eastAsia="新細明體" w:hAnsi="新細明體" w:cs="新細明體"/>
          <w:kern w:val="0"/>
          <w:szCs w:val="24"/>
        </w:rPr>
        <w:t>7</w:t>
      </w:r>
      <w:r w:rsidRPr="009D43A6">
        <w:rPr>
          <w:rFonts w:ascii="新細明體" w:eastAsia="新細明體" w:hAnsi="新細明體" w:cs="新細明體" w:hint="eastAsia"/>
          <w:kern w:val="0"/>
          <w:szCs w:val="24"/>
        </w:rPr>
        <w:t>節重複：</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你們要省察自己的行為</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。原文同一個句子在</w:t>
      </w:r>
      <w:r w:rsidRPr="009D43A6">
        <w:rPr>
          <w:rFonts w:ascii="新細明體" w:eastAsia="新細明體" w:hAnsi="新細明體" w:cs="新細明體"/>
          <w:kern w:val="0"/>
          <w:szCs w:val="24"/>
        </w:rPr>
        <w:t>2:15</w:t>
      </w:r>
      <w:r w:rsidRPr="009D43A6">
        <w:rPr>
          <w:rFonts w:ascii="新細明體" w:eastAsia="新細明體" w:hAnsi="新細明體" w:cs="新細明體" w:hint="eastAsia"/>
          <w:kern w:val="0"/>
          <w:szCs w:val="24"/>
        </w:rPr>
        <w:t>、</w:t>
      </w:r>
      <w:r w:rsidRPr="009D43A6">
        <w:rPr>
          <w:rFonts w:ascii="新細明體" w:eastAsia="新細明體" w:hAnsi="新細明體" w:cs="新細明體"/>
          <w:kern w:val="0"/>
          <w:szCs w:val="24"/>
        </w:rPr>
        <w:t>18</w:t>
      </w:r>
      <w:r w:rsidRPr="009D43A6">
        <w:rPr>
          <w:rFonts w:ascii="新細明體" w:eastAsia="新細明體" w:hAnsi="新細明體" w:cs="新細明體" w:hint="eastAsia"/>
          <w:kern w:val="0"/>
          <w:szCs w:val="24"/>
        </w:rPr>
        <w:t>先後三次提及，這三次中文譯本都譯作</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追想</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。這句子原文是</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謹守你們的心</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，也就是</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要放在你們心上</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的意思。可見當時以色列餘民面對的不只是實質生活上的難處，而是更深隱藏的屬靈危機。</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t>又例如：</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撒拉鐵的兒子所羅巴伯和約撒答的兒子大祭司約書亞、並剩下的百姓</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這句話在</w:t>
      </w:r>
      <w:r w:rsidRPr="009D43A6">
        <w:rPr>
          <w:rFonts w:ascii="新細明體" w:eastAsia="新細明體" w:hAnsi="新細明體" w:cs="新細明體"/>
          <w:kern w:val="0"/>
          <w:szCs w:val="24"/>
        </w:rPr>
        <w:t>1:12</w:t>
      </w:r>
      <w:r w:rsidRPr="009D43A6">
        <w:rPr>
          <w:rFonts w:ascii="新細明體" w:eastAsia="新細明體" w:hAnsi="新細明體" w:cs="新細明體" w:hint="eastAsia"/>
          <w:kern w:val="0"/>
          <w:szCs w:val="24"/>
        </w:rPr>
        <w:t>、</w:t>
      </w:r>
      <w:r w:rsidRPr="009D43A6">
        <w:rPr>
          <w:rFonts w:ascii="新細明體" w:eastAsia="新細明體" w:hAnsi="新細明體" w:cs="新細明體"/>
          <w:kern w:val="0"/>
          <w:szCs w:val="24"/>
        </w:rPr>
        <w:t>14</w:t>
      </w:r>
      <w:r w:rsidRPr="009D43A6">
        <w:rPr>
          <w:rFonts w:ascii="新細明體" w:eastAsia="新細明體" w:hAnsi="新細明體" w:cs="新細明體" w:hint="eastAsia"/>
          <w:kern w:val="0"/>
          <w:szCs w:val="24"/>
        </w:rPr>
        <w:t>，</w:t>
      </w:r>
      <w:r w:rsidRPr="009D43A6">
        <w:rPr>
          <w:rFonts w:ascii="新細明體" w:eastAsia="新細明體" w:hAnsi="新細明體" w:cs="新細明體"/>
          <w:kern w:val="0"/>
          <w:szCs w:val="24"/>
        </w:rPr>
        <w:t>2:2</w:t>
      </w:r>
      <w:r w:rsidRPr="009D43A6">
        <w:rPr>
          <w:rFonts w:ascii="新細明體" w:eastAsia="新細明體" w:hAnsi="新細明體" w:cs="新細明體" w:hint="eastAsia"/>
          <w:kern w:val="0"/>
          <w:szCs w:val="24"/>
        </w:rPr>
        <w:t>重複出現。可見耶和華的曉諭不只是對余民百姓說的，也是對他們的政治領袖和宗教領袖說的。換言之，建造神的殿是神的子民整體的責任，也必須有整體的參與和整體的順服。</w:t>
      </w:r>
      <w:r w:rsidRPr="009D43A6">
        <w:rPr>
          <w:rFonts w:ascii="新細明體" w:eastAsia="新細明體" w:hAnsi="新細明體" w:cs="新細明體"/>
          <w:kern w:val="0"/>
          <w:szCs w:val="24"/>
        </w:rPr>
        <w:br/>
        <w:t xml:space="preserve">5.4. </w:t>
      </w:r>
      <w:r w:rsidRPr="009D43A6">
        <w:rPr>
          <w:rFonts w:ascii="新細明體" w:eastAsia="新細明體" w:hAnsi="新細明體" w:cs="新細明體" w:hint="eastAsia"/>
          <w:kern w:val="0"/>
          <w:szCs w:val="24"/>
        </w:rPr>
        <w:t>哈該書的第四個特色就是屢屢引用其他舊約經卷的詞匯以提醒神的子民與神立約的關係和守約的責任。例如：</w:t>
      </w:r>
      <w:r w:rsidRPr="009D43A6">
        <w:rPr>
          <w:rFonts w:ascii="新細明體" w:eastAsia="新細明體" w:hAnsi="新細明體" w:cs="新細明體"/>
          <w:kern w:val="0"/>
          <w:szCs w:val="24"/>
        </w:rPr>
        <w:t>2:4</w:t>
      </w:r>
      <w:r w:rsidRPr="009D43A6">
        <w:rPr>
          <w:rFonts w:ascii="新細明體" w:eastAsia="新細明體" w:hAnsi="新細明體" w:cs="新細明體" w:hint="eastAsia"/>
          <w:kern w:val="0"/>
          <w:szCs w:val="24"/>
        </w:rPr>
        <w:t>三次引用</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你們當剛強</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因為我與你同在</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，令人想起書</w:t>
      </w:r>
      <w:r w:rsidRPr="009D43A6">
        <w:rPr>
          <w:rFonts w:ascii="新細明體" w:eastAsia="新細明體" w:hAnsi="新細明體" w:cs="新細明體"/>
          <w:kern w:val="0"/>
          <w:szCs w:val="24"/>
        </w:rPr>
        <w:t>1:9</w:t>
      </w:r>
      <w:r w:rsidRPr="009D43A6">
        <w:rPr>
          <w:rFonts w:ascii="新細明體" w:eastAsia="新細明體" w:hAnsi="新細明體" w:cs="新細明體" w:hint="eastAsia"/>
          <w:kern w:val="0"/>
          <w:szCs w:val="24"/>
        </w:rPr>
        <w:t>，神如何激勵約書亞當剛強壯膽，領導以色列人攻取神應許給他們的迦南地。又如</w:t>
      </w:r>
      <w:r w:rsidRPr="009D43A6">
        <w:rPr>
          <w:rFonts w:ascii="新細明體" w:eastAsia="新細明體" w:hAnsi="新細明體" w:cs="新細明體"/>
          <w:kern w:val="0"/>
          <w:szCs w:val="24"/>
        </w:rPr>
        <w:t>2:17</w:t>
      </w:r>
      <w:r w:rsidRPr="009D43A6">
        <w:rPr>
          <w:rFonts w:ascii="新細明體" w:eastAsia="新細明體" w:hAnsi="新細明體" w:cs="新細明體" w:hint="eastAsia"/>
          <w:kern w:val="0"/>
          <w:szCs w:val="24"/>
        </w:rPr>
        <w:t>說及的</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旱風</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黴爛</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正是申</w:t>
      </w:r>
      <w:r w:rsidRPr="009D43A6">
        <w:rPr>
          <w:rFonts w:ascii="新細明體" w:eastAsia="新細明體" w:hAnsi="新細明體" w:cs="新細明體"/>
          <w:kern w:val="0"/>
          <w:szCs w:val="24"/>
        </w:rPr>
        <w:t>28:22</w:t>
      </w:r>
      <w:r w:rsidRPr="009D43A6">
        <w:rPr>
          <w:rFonts w:ascii="新細明體" w:eastAsia="新細明體" w:hAnsi="新細明體" w:cs="新細明體" w:hint="eastAsia"/>
          <w:kern w:val="0"/>
          <w:szCs w:val="24"/>
        </w:rPr>
        <w:t>，摩西警告以色列人悖逆、背約所得的咒詛。哈該書簡短的字句蘊含著深遠的歷史意識和語重心長的提醒。</w:t>
      </w:r>
      <w:r w:rsidRPr="009D43A6">
        <w:rPr>
          <w:rFonts w:ascii="新細明體" w:eastAsia="新細明體" w:hAnsi="新細明體" w:cs="新細明體"/>
          <w:kern w:val="0"/>
          <w:szCs w:val="24"/>
        </w:rPr>
        <w:br/>
        <w:t xml:space="preserve">5.5. </w:t>
      </w:r>
      <w:r w:rsidRPr="009D43A6">
        <w:rPr>
          <w:rFonts w:ascii="新細明體" w:eastAsia="新細明體" w:hAnsi="新細明體" w:cs="新細明體" w:hint="eastAsia"/>
          <w:kern w:val="0"/>
          <w:szCs w:val="24"/>
        </w:rPr>
        <w:t>哈該書的第五個特色就是先知哈該預言神對所羅巴伯的應許。</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t>所羅巴伯的名字出現於代上</w:t>
      </w:r>
      <w:r w:rsidRPr="009D43A6">
        <w:rPr>
          <w:rFonts w:ascii="新細明體" w:eastAsia="新細明體" w:hAnsi="新細明體" w:cs="新細明體"/>
          <w:kern w:val="0"/>
          <w:szCs w:val="24"/>
        </w:rPr>
        <w:t>3:19</w:t>
      </w:r>
      <w:r w:rsidRPr="009D43A6">
        <w:rPr>
          <w:rFonts w:ascii="新細明體" w:eastAsia="新細明體" w:hAnsi="新細明體" w:cs="新細明體" w:hint="eastAsia"/>
          <w:kern w:val="0"/>
          <w:szCs w:val="24"/>
        </w:rPr>
        <w:t>，大衛王的家譜，肯定了他王裔的身分。其他舊約經卷只有以斯拉記、尼希米記、哈該書、撒迦利亞書這四本書提及所羅巴伯，一共</w:t>
      </w:r>
      <w:r w:rsidRPr="009D43A6">
        <w:rPr>
          <w:rFonts w:ascii="新細明體" w:eastAsia="新細明體" w:hAnsi="新細明體" w:cs="新細明體"/>
          <w:kern w:val="0"/>
          <w:szCs w:val="24"/>
        </w:rPr>
        <w:t>21</w:t>
      </w:r>
      <w:r w:rsidRPr="009D43A6">
        <w:rPr>
          <w:rFonts w:ascii="新細明體" w:eastAsia="新細明體" w:hAnsi="新細明體" w:cs="新細明體" w:hint="eastAsia"/>
          <w:kern w:val="0"/>
          <w:szCs w:val="24"/>
        </w:rPr>
        <w:t>次；大致上都記載他在波斯王朝時代曾出任猶大省長，並帶領第一批猶太人回歸重建聖殿。唯獨該</w:t>
      </w:r>
      <w:r w:rsidRPr="009D43A6">
        <w:rPr>
          <w:rFonts w:ascii="新細明體" w:eastAsia="新細明體" w:hAnsi="新細明體" w:cs="新細明體"/>
          <w:kern w:val="0"/>
          <w:szCs w:val="24"/>
        </w:rPr>
        <w:t>2:23</w:t>
      </w:r>
      <w:r w:rsidRPr="009D43A6">
        <w:rPr>
          <w:rFonts w:ascii="新細明體" w:eastAsia="新細明體" w:hAnsi="新細明體" w:cs="新細明體" w:hint="eastAsia"/>
          <w:kern w:val="0"/>
          <w:szCs w:val="24"/>
        </w:rPr>
        <w:t>預言所羅巴伯是耶和華揀選的</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帶印的戒指</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將來要執掌王權，戰勝列國。然而，在此之後，歷史中再也沒有任何其他關於所羅巴伯的記載。新約馬太福音和路加福音記載的兩個耶穌的家譜都有提及所羅巴伯的名字。可見所羅巴伯就是彌賽亞的預表。哈該的預言帶給我們末世的盼望。</w:t>
      </w:r>
    </w:p>
    <w:p w:rsidR="009D43A6" w:rsidRPr="009D43A6" w:rsidRDefault="009D43A6" w:rsidP="009D43A6">
      <w:pPr>
        <w:widowControl/>
        <w:spacing w:after="240"/>
        <w:rPr>
          <w:rFonts w:ascii="新細明體" w:eastAsia="新細明體" w:hAnsi="新細明體" w:cs="新細明體"/>
          <w:kern w:val="0"/>
          <w:szCs w:val="24"/>
        </w:rPr>
      </w:pPr>
      <w:r w:rsidRPr="009D43A6">
        <w:rPr>
          <w:rFonts w:ascii="新細明體" w:eastAsia="新細明體" w:hAnsi="新細明體" w:cs="新細明體"/>
          <w:kern w:val="0"/>
          <w:szCs w:val="24"/>
        </w:rPr>
        <w:t xml:space="preserve">6. </w:t>
      </w:r>
      <w:r w:rsidRPr="009D43A6">
        <w:rPr>
          <w:rFonts w:ascii="新細明體" w:eastAsia="新細明體" w:hAnsi="新細明體" w:cs="新細明體" w:hint="eastAsia"/>
          <w:kern w:val="0"/>
          <w:szCs w:val="24"/>
        </w:rPr>
        <w:t>哈該書與我們這些新約信徒的關係</w:t>
      </w:r>
      <w:r w:rsidRPr="009D43A6">
        <w:rPr>
          <w:rFonts w:ascii="新細明體" w:eastAsia="新細明體" w:hAnsi="新細明體" w:cs="新細明體"/>
          <w:kern w:val="0"/>
          <w:szCs w:val="24"/>
        </w:rPr>
        <w:br/>
        <w:t xml:space="preserve">6.1. </w:t>
      </w:r>
      <w:r w:rsidRPr="009D43A6">
        <w:rPr>
          <w:rFonts w:ascii="新細明體" w:eastAsia="新細明體" w:hAnsi="新細明體" w:cs="新細明體" w:hint="eastAsia"/>
          <w:kern w:val="0"/>
          <w:szCs w:val="24"/>
        </w:rPr>
        <w:t>從歷史的角度看，哈該的信息是勸導昔日的猶太人醒悟悔改，復興重建聖殿的工作。但是從神永恆的國度看，重建聖殿的目的是因為神要與人同在；祂要住在祂的子民中間。</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神與人同在</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是舊約貫徹始終，常提及的一個主題。該</w:t>
      </w:r>
      <w:r w:rsidRPr="009D43A6">
        <w:rPr>
          <w:rFonts w:ascii="新細明體" w:eastAsia="新細明體" w:hAnsi="新細明體" w:cs="新細明體"/>
          <w:kern w:val="0"/>
          <w:szCs w:val="24"/>
        </w:rPr>
        <w:t>1:10</w:t>
      </w:r>
      <w:r w:rsidRPr="009D43A6">
        <w:rPr>
          <w:rFonts w:ascii="新細明體" w:eastAsia="新細明體" w:hAnsi="新細明體" w:cs="新細明體" w:hint="eastAsia"/>
          <w:kern w:val="0"/>
          <w:szCs w:val="24"/>
        </w:rPr>
        <w:t>，</w:t>
      </w:r>
      <w:r w:rsidRPr="009D43A6">
        <w:rPr>
          <w:rFonts w:ascii="新細明體" w:eastAsia="新細明體" w:hAnsi="新細明體" w:cs="新細明體"/>
          <w:kern w:val="0"/>
          <w:szCs w:val="24"/>
        </w:rPr>
        <w:t>2:4</w:t>
      </w:r>
      <w:r w:rsidRPr="009D43A6">
        <w:rPr>
          <w:rFonts w:ascii="新細明體" w:eastAsia="新細明體" w:hAnsi="新細明體" w:cs="新細明體" w:hint="eastAsia"/>
          <w:kern w:val="0"/>
          <w:szCs w:val="24"/>
        </w:rPr>
        <w:t>、</w:t>
      </w:r>
      <w:r w:rsidRPr="009D43A6">
        <w:rPr>
          <w:rFonts w:ascii="新細明體" w:eastAsia="新細明體" w:hAnsi="新細明體" w:cs="新細明體"/>
          <w:kern w:val="0"/>
          <w:szCs w:val="24"/>
        </w:rPr>
        <w:t>5</w:t>
      </w:r>
      <w:r w:rsidRPr="009D43A6">
        <w:rPr>
          <w:rFonts w:ascii="新細明體" w:eastAsia="新細明體" w:hAnsi="新細明體" w:cs="新細明體" w:hint="eastAsia"/>
          <w:kern w:val="0"/>
          <w:szCs w:val="24"/>
        </w:rPr>
        <w:t>都有明示。新約首卷太</w:t>
      </w:r>
      <w:r w:rsidRPr="009D43A6">
        <w:rPr>
          <w:rFonts w:ascii="新細明體" w:eastAsia="新細明體" w:hAnsi="新細明體" w:cs="新細明體"/>
          <w:kern w:val="0"/>
          <w:szCs w:val="24"/>
        </w:rPr>
        <w:t>1:23</w:t>
      </w:r>
      <w:r w:rsidRPr="009D43A6">
        <w:rPr>
          <w:rFonts w:ascii="新細明體" w:eastAsia="新細明體" w:hAnsi="新細明體" w:cs="新細明體" w:hint="eastAsia"/>
          <w:kern w:val="0"/>
          <w:szCs w:val="24"/>
        </w:rPr>
        <w:t>告訴我們：人要稱</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耶穌</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的名字為</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以馬內利</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，意思就是</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神與我們同在</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！馬太福音的終結就是耶穌的應許：</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我就常與你們同在，直到世界的末了。</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啟</w:t>
      </w:r>
      <w:r w:rsidRPr="009D43A6">
        <w:rPr>
          <w:rFonts w:ascii="新細明體" w:eastAsia="新細明體" w:hAnsi="新細明體" w:cs="新細明體"/>
          <w:kern w:val="0"/>
          <w:szCs w:val="24"/>
        </w:rPr>
        <w:t>21:3</w:t>
      </w:r>
      <w:r w:rsidRPr="009D43A6">
        <w:rPr>
          <w:rFonts w:ascii="新細明體" w:eastAsia="新細明體" w:hAnsi="新細明體" w:cs="新細明體" w:hint="eastAsia"/>
          <w:kern w:val="0"/>
          <w:szCs w:val="24"/>
        </w:rPr>
        <w:t>：</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我聽見有大聲音從寶座出來說：</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看哪！神的帳幕在人間。他要與人同住，他們要作他的子民；神要親自與他們同在，作他們的神。</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使徒保羅在林前</w:t>
      </w:r>
      <w:r w:rsidRPr="009D43A6">
        <w:rPr>
          <w:rFonts w:ascii="新細明體" w:eastAsia="新細明體" w:hAnsi="新細明體" w:cs="新細明體"/>
          <w:kern w:val="0"/>
          <w:szCs w:val="24"/>
        </w:rPr>
        <w:t>3:16</w:t>
      </w:r>
      <w:r w:rsidRPr="009D43A6">
        <w:rPr>
          <w:rFonts w:ascii="新細明體" w:eastAsia="新細明體" w:hAnsi="新細明體" w:cs="新細明體" w:hint="eastAsia"/>
          <w:kern w:val="0"/>
          <w:szCs w:val="24"/>
        </w:rPr>
        <w:t>、</w:t>
      </w:r>
      <w:r w:rsidRPr="009D43A6">
        <w:rPr>
          <w:rFonts w:ascii="新細明體" w:eastAsia="新細明體" w:hAnsi="新細明體" w:cs="新細明體"/>
          <w:kern w:val="0"/>
          <w:szCs w:val="24"/>
        </w:rPr>
        <w:t>17</w:t>
      </w:r>
      <w:r w:rsidRPr="009D43A6">
        <w:rPr>
          <w:rFonts w:ascii="新細明體" w:eastAsia="新細明體" w:hAnsi="新細明體" w:cs="新細明體" w:hint="eastAsia"/>
          <w:kern w:val="0"/>
          <w:szCs w:val="24"/>
        </w:rPr>
        <w:t>說：</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豈不知你們是神的殿，神的靈住在你們裡頭嗎？若有人毀壞神的殿，神必要毀壞那人；因為神的殿是聖的，這殿就是你們。</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弗</w:t>
      </w:r>
      <w:r w:rsidRPr="009D43A6">
        <w:rPr>
          <w:rFonts w:ascii="新細明體" w:eastAsia="新細明體" w:hAnsi="新細明體" w:cs="新細明體"/>
          <w:kern w:val="0"/>
          <w:szCs w:val="24"/>
        </w:rPr>
        <w:t>2:19-22</w:t>
      </w:r>
      <w:r w:rsidRPr="009D43A6">
        <w:rPr>
          <w:rFonts w:ascii="新細明體" w:eastAsia="新細明體" w:hAnsi="新細明體" w:cs="新細明體" w:hint="eastAsia"/>
          <w:kern w:val="0"/>
          <w:szCs w:val="24"/>
        </w:rPr>
        <w:t>也說，我們也靠基督耶穌同被建造，成為神借著聖靈居住的所在。教會就是神的殿。親愛的弟兄姊妹，今天我們手所作的工是彼此造就，建立教會呢？還是各人只顧自己的事，不顧教會的事呢？主看著我們可會說：</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我的殿荒涼</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嗎？</w:t>
      </w:r>
      <w:r w:rsidRPr="009D43A6">
        <w:rPr>
          <w:rFonts w:ascii="新細明體" w:eastAsia="新細明體" w:hAnsi="新細明體" w:cs="新細明體"/>
          <w:kern w:val="0"/>
          <w:szCs w:val="24"/>
        </w:rPr>
        <w:br/>
      </w:r>
      <w:r w:rsidRPr="009D43A6">
        <w:rPr>
          <w:rFonts w:ascii="新細明體" w:eastAsia="新細明體" w:hAnsi="新細明體" w:cs="新細明體"/>
          <w:kern w:val="0"/>
          <w:szCs w:val="24"/>
        </w:rPr>
        <w:lastRenderedPageBreak/>
        <w:t xml:space="preserve">6.2. </w:t>
      </w:r>
      <w:r w:rsidRPr="009D43A6">
        <w:rPr>
          <w:rFonts w:ascii="新細明體" w:eastAsia="新細明體" w:hAnsi="新細明體" w:cs="新細明體" w:hint="eastAsia"/>
          <w:kern w:val="0"/>
          <w:szCs w:val="24"/>
        </w:rPr>
        <w:t>雖然</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萬軍之耶和華</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這一個稱謂語在其他的先知書也屢見不鮮，可是哈該書是以一個外邦的王，大利烏掌權的日子開始的，它的結束卻是</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萬軍之耶和華說的</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那日子！哈該的四個信息從責備、激勵、警惕以至應許，都引導神的子民從喪志消沉的屬靈低潮中豁出，邁向耶和華將來榮耀的盼望。從屈辱受制於仇敵的日子到仇敵完全被除滅的那日，是爭戰的日子。神的子民唯一的依靠和出路就是</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萬軍之耶和華</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的帥領和同在。亞</w:t>
      </w:r>
      <w:r w:rsidRPr="009D43A6">
        <w:rPr>
          <w:rFonts w:ascii="新細明體" w:eastAsia="新細明體" w:hAnsi="新細明體" w:cs="新細明體"/>
          <w:kern w:val="0"/>
          <w:szCs w:val="24"/>
        </w:rPr>
        <w:t>4:6</w:t>
      </w:r>
      <w:r w:rsidRPr="009D43A6">
        <w:rPr>
          <w:rFonts w:ascii="新細明體" w:eastAsia="新細明體" w:hAnsi="新細明體" w:cs="新細明體" w:hint="eastAsia"/>
          <w:kern w:val="0"/>
          <w:szCs w:val="24"/>
        </w:rPr>
        <w:t>，耶和華對所羅巴伯曉諭說：</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不是倚靠勢力，不是倚靠才能，乃是倚靠我的靈，方能成事。</w:t>
      </w:r>
      <w:r w:rsidRPr="009D43A6">
        <w:rPr>
          <w:rFonts w:ascii="新細明體" w:eastAsia="新細明體" w:hAnsi="新細明體" w:cs="新細明體"/>
          <w:kern w:val="0"/>
          <w:szCs w:val="24"/>
        </w:rPr>
        <w:t>”</w:t>
      </w:r>
      <w:r w:rsidRPr="009D43A6">
        <w:rPr>
          <w:rFonts w:ascii="新細明體" w:eastAsia="新細明體" w:hAnsi="新細明體" w:cs="新細明體" w:hint="eastAsia"/>
          <w:kern w:val="0"/>
          <w:szCs w:val="24"/>
        </w:rPr>
        <w:t>今天的信徒仍在爭戰中盼望著主榮耀的再臨。使徒保羅在弗</w:t>
      </w:r>
      <w:r w:rsidRPr="009D43A6">
        <w:rPr>
          <w:rFonts w:ascii="新細明體" w:eastAsia="新細明體" w:hAnsi="新細明體" w:cs="新細明體"/>
          <w:kern w:val="0"/>
          <w:szCs w:val="24"/>
        </w:rPr>
        <w:t>6:12</w:t>
      </w:r>
      <w:r w:rsidRPr="009D43A6">
        <w:rPr>
          <w:rFonts w:ascii="新細明體" w:eastAsia="新細明體" w:hAnsi="新細明體" w:cs="新細明體" w:hint="eastAsia"/>
          <w:kern w:val="0"/>
          <w:szCs w:val="24"/>
        </w:rPr>
        <w:t>說：我們乃是與管轄這幽暗世界的、屬靈的惡魔爭戰！</w:t>
      </w:r>
      <w:r w:rsidRPr="009D43A6">
        <w:rPr>
          <w:rFonts w:ascii="新細明體" w:eastAsia="新細明體" w:hAnsi="新細明體" w:cs="新細明體"/>
          <w:kern w:val="0"/>
          <w:szCs w:val="24"/>
        </w:rPr>
        <w:br/>
      </w:r>
      <w:r w:rsidRPr="009D43A6">
        <w:rPr>
          <w:rFonts w:ascii="新細明體" w:eastAsia="新細明體" w:hAnsi="新細明體" w:cs="新細明體" w:hint="eastAsia"/>
          <w:kern w:val="0"/>
          <w:szCs w:val="24"/>
        </w:rPr>
        <w:t>親愛的弟兄姊妹，今天你的屬靈景況怎樣？你可有仰望我們的萬主之主，萬王之王耶穌基督，追隨祂的帥領，依靠祂的至大全能來成就你的事工呢？無論你的光景如何，請不要忘記：主已經應許了，過不多時，神要震動天地，祂要榮耀地再來！願萬軍之耶和華，榮耀復活的主耶穌基督和住在我們中間的聖靈，祝福保守你們！</w:t>
      </w:r>
    </w:p>
    <w:p w:rsidR="00EB4FBC" w:rsidRPr="009D43A6" w:rsidRDefault="009D43A6"/>
    <w:sectPr w:rsidR="00EB4FBC" w:rsidRPr="009D43A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3D"/>
    <w:rsid w:val="003312FB"/>
    <w:rsid w:val="00417B5C"/>
    <w:rsid w:val="009D43A6"/>
    <w:rsid w:val="00E93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9D43A6"/>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D43A6"/>
    <w:rPr>
      <w:rFonts w:ascii="新細明體" w:eastAsia="新細明體" w:hAnsi="新細明體" w:cs="新細明體"/>
      <w:b/>
      <w:bCs/>
      <w:kern w:val="0"/>
      <w:sz w:val="36"/>
      <w:szCs w:val="36"/>
    </w:rPr>
  </w:style>
  <w:style w:type="character" w:styleId="a3">
    <w:name w:val="Hyperlink"/>
    <w:basedOn w:val="a0"/>
    <w:uiPriority w:val="99"/>
    <w:semiHidden/>
    <w:unhideWhenUsed/>
    <w:rsid w:val="009D43A6"/>
    <w:rPr>
      <w:color w:val="0000FF"/>
      <w:u w:val="single"/>
    </w:rPr>
  </w:style>
  <w:style w:type="paragraph" w:styleId="Web">
    <w:name w:val="Normal (Web)"/>
    <w:basedOn w:val="a"/>
    <w:uiPriority w:val="99"/>
    <w:semiHidden/>
    <w:unhideWhenUsed/>
    <w:rsid w:val="009D43A6"/>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9D43A6"/>
  </w:style>
  <w:style w:type="paragraph" w:styleId="a4">
    <w:name w:val="Balloon Text"/>
    <w:basedOn w:val="a"/>
    <w:link w:val="a5"/>
    <w:uiPriority w:val="99"/>
    <w:semiHidden/>
    <w:unhideWhenUsed/>
    <w:rsid w:val="009D43A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D43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9D43A6"/>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D43A6"/>
    <w:rPr>
      <w:rFonts w:ascii="新細明體" w:eastAsia="新細明體" w:hAnsi="新細明體" w:cs="新細明體"/>
      <w:b/>
      <w:bCs/>
      <w:kern w:val="0"/>
      <w:sz w:val="36"/>
      <w:szCs w:val="36"/>
    </w:rPr>
  </w:style>
  <w:style w:type="character" w:styleId="a3">
    <w:name w:val="Hyperlink"/>
    <w:basedOn w:val="a0"/>
    <w:uiPriority w:val="99"/>
    <w:semiHidden/>
    <w:unhideWhenUsed/>
    <w:rsid w:val="009D43A6"/>
    <w:rPr>
      <w:color w:val="0000FF"/>
      <w:u w:val="single"/>
    </w:rPr>
  </w:style>
  <w:style w:type="paragraph" w:styleId="Web">
    <w:name w:val="Normal (Web)"/>
    <w:basedOn w:val="a"/>
    <w:uiPriority w:val="99"/>
    <w:semiHidden/>
    <w:unhideWhenUsed/>
    <w:rsid w:val="009D43A6"/>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9D43A6"/>
  </w:style>
  <w:style w:type="paragraph" w:styleId="a4">
    <w:name w:val="Balloon Text"/>
    <w:basedOn w:val="a"/>
    <w:link w:val="a5"/>
    <w:uiPriority w:val="99"/>
    <w:semiHidden/>
    <w:unhideWhenUsed/>
    <w:rsid w:val="009D43A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D4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21236">
      <w:bodyDiv w:val="1"/>
      <w:marLeft w:val="0"/>
      <w:marRight w:val="0"/>
      <w:marTop w:val="0"/>
      <w:marBottom w:val="0"/>
      <w:divBdr>
        <w:top w:val="none" w:sz="0" w:space="0" w:color="auto"/>
        <w:left w:val="none" w:sz="0" w:space="0" w:color="auto"/>
        <w:bottom w:val="none" w:sz="0" w:space="0" w:color="auto"/>
        <w:right w:val="none" w:sz="0" w:space="0" w:color="auto"/>
      </w:divBdr>
      <w:divsChild>
        <w:div w:id="381516908">
          <w:marLeft w:val="0"/>
          <w:marRight w:val="0"/>
          <w:marTop w:val="30"/>
          <w:marBottom w:val="150"/>
          <w:divBdr>
            <w:top w:val="none" w:sz="0" w:space="0" w:color="auto"/>
            <w:left w:val="none" w:sz="0" w:space="0" w:color="auto"/>
            <w:bottom w:val="single" w:sz="2" w:space="4" w:color="EEEEEE"/>
            <w:right w:val="none" w:sz="0" w:space="0" w:color="auto"/>
          </w:divBdr>
        </w:div>
        <w:div w:id="308019666">
          <w:marLeft w:val="0"/>
          <w:marRight w:val="0"/>
          <w:marTop w:val="0"/>
          <w:marBottom w:val="0"/>
          <w:divBdr>
            <w:top w:val="none" w:sz="0" w:space="0" w:color="auto"/>
            <w:left w:val="none" w:sz="0" w:space="0" w:color="auto"/>
            <w:bottom w:val="none" w:sz="0" w:space="0" w:color="auto"/>
            <w:right w:val="none" w:sz="0" w:space="0" w:color="auto"/>
          </w:divBdr>
          <w:divsChild>
            <w:div w:id="1003356174">
              <w:marLeft w:val="0"/>
              <w:marRight w:val="0"/>
              <w:marTop w:val="0"/>
              <w:marBottom w:val="0"/>
              <w:divBdr>
                <w:top w:val="none" w:sz="0" w:space="0" w:color="auto"/>
                <w:left w:val="none" w:sz="0" w:space="0" w:color="auto"/>
                <w:bottom w:val="none" w:sz="0" w:space="0" w:color="auto"/>
                <w:right w:val="none" w:sz="0" w:space="0" w:color="auto"/>
              </w:divBdr>
              <w:divsChild>
                <w:div w:id="1142389390">
                  <w:marLeft w:val="0"/>
                  <w:marRight w:val="0"/>
                  <w:marTop w:val="0"/>
                  <w:marBottom w:val="0"/>
                  <w:divBdr>
                    <w:top w:val="none" w:sz="0" w:space="0" w:color="auto"/>
                    <w:left w:val="none" w:sz="0" w:space="0" w:color="auto"/>
                    <w:bottom w:val="none" w:sz="0" w:space="0" w:color="auto"/>
                    <w:right w:val="none" w:sz="0" w:space="0" w:color="auto"/>
                  </w:divBdr>
                  <w:divsChild>
                    <w:div w:id="1916429024">
                      <w:marLeft w:val="0"/>
                      <w:marRight w:val="0"/>
                      <w:marTop w:val="0"/>
                      <w:marBottom w:val="0"/>
                      <w:divBdr>
                        <w:top w:val="none" w:sz="0" w:space="0" w:color="auto"/>
                        <w:left w:val="none" w:sz="0" w:space="0" w:color="auto"/>
                        <w:bottom w:val="none" w:sz="0" w:space="0" w:color="auto"/>
                        <w:right w:val="none" w:sz="0" w:space="0" w:color="auto"/>
                      </w:divBdr>
                      <w:divsChild>
                        <w:div w:id="1162311207">
                          <w:marLeft w:val="0"/>
                          <w:marRight w:val="0"/>
                          <w:marTop w:val="0"/>
                          <w:marBottom w:val="0"/>
                          <w:divBdr>
                            <w:top w:val="none" w:sz="0" w:space="0" w:color="auto"/>
                            <w:left w:val="none" w:sz="0" w:space="0" w:color="auto"/>
                            <w:bottom w:val="none" w:sz="0" w:space="0" w:color="auto"/>
                            <w:right w:val="none" w:sz="0" w:space="0" w:color="auto"/>
                          </w:divBdr>
                          <w:divsChild>
                            <w:div w:id="2055496719">
                              <w:marLeft w:val="0"/>
                              <w:marRight w:val="0"/>
                              <w:marTop w:val="0"/>
                              <w:marBottom w:val="0"/>
                              <w:divBdr>
                                <w:top w:val="none" w:sz="0" w:space="0" w:color="auto"/>
                                <w:left w:val="none" w:sz="0" w:space="0" w:color="auto"/>
                                <w:bottom w:val="none" w:sz="0" w:space="0" w:color="auto"/>
                                <w:right w:val="none" w:sz="0" w:space="0" w:color="auto"/>
                              </w:divBdr>
                              <w:divsChild>
                                <w:div w:id="15815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729ly.net/exposition/exposition-be/exposition-be-ot-minor-prophets-haggai"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2021-07-13T05:13:00Z</dcterms:created>
  <dcterms:modified xsi:type="dcterms:W3CDTF">2021-07-13T05:14:00Z</dcterms:modified>
</cp:coreProperties>
</file>