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1" w:rsidRDefault="00424831" w:rsidP="00424831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424831" w:rsidRDefault="00424831" w:rsidP="00424831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424831" w:rsidRDefault="00424831" w:rsidP="00424831">
      <w:r>
        <w:rPr>
          <w:rFonts w:hint="eastAsia"/>
        </w:rPr>
        <w:t>講員：張得仁</w:t>
      </w:r>
    </w:p>
    <w:p w:rsidR="00424831" w:rsidRDefault="00424831" w:rsidP="0042483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424831" w:rsidRDefault="00424831" w:rsidP="00424831">
      <w:r>
        <w:t xml:space="preserve">1. </w:t>
      </w:r>
      <w:r>
        <w:rPr>
          <w:rFonts w:hint="eastAsia"/>
        </w:rPr>
        <w:t>全書無提及神的名字。</w:t>
      </w:r>
    </w:p>
    <w:p w:rsidR="00424831" w:rsidRDefault="00424831" w:rsidP="00424831">
      <w:r>
        <w:t xml:space="preserve">2. </w:t>
      </w:r>
      <w:r>
        <w:rPr>
          <w:rFonts w:hint="eastAsia"/>
        </w:rPr>
        <w:t>馬丁路德曾質疑</w:t>
      </w:r>
      <w:proofErr w:type="gramStart"/>
      <w:r>
        <w:rPr>
          <w:rFonts w:hint="eastAsia"/>
        </w:rPr>
        <w:t>該卷書</w:t>
      </w:r>
      <w:proofErr w:type="gramEnd"/>
      <w:r>
        <w:rPr>
          <w:rFonts w:hint="eastAsia"/>
        </w:rPr>
        <w:t>！馬丁路德不認為</w:t>
      </w:r>
      <w:proofErr w:type="gramStart"/>
      <w:r>
        <w:rPr>
          <w:rFonts w:hint="eastAsia"/>
        </w:rPr>
        <w:t>以斯帖記</w:t>
      </w:r>
      <w:proofErr w:type="gramEnd"/>
      <w:r>
        <w:rPr>
          <w:rFonts w:hint="eastAsia"/>
        </w:rPr>
        <w:t>是正典。</w:t>
      </w:r>
    </w:p>
    <w:p w:rsidR="00424831" w:rsidRDefault="00424831" w:rsidP="00424831">
      <w:r>
        <w:t xml:space="preserve">3. </w:t>
      </w:r>
      <w:r>
        <w:rPr>
          <w:rFonts w:hint="eastAsia"/>
        </w:rPr>
        <w:t>雖看不到神的名字卻處處看到神的影子。</w:t>
      </w:r>
    </w:p>
    <w:p w:rsidR="00424831" w:rsidRDefault="00424831" w:rsidP="00424831">
      <w:r>
        <w:t xml:space="preserve">4. </w:t>
      </w:r>
      <w:proofErr w:type="gramStart"/>
      <w:r>
        <w:rPr>
          <w:rFonts w:hint="eastAsia"/>
        </w:rPr>
        <w:t>以斯帖記</w:t>
      </w:r>
      <w:proofErr w:type="gramEnd"/>
      <w:r>
        <w:rPr>
          <w:rFonts w:hint="eastAsia"/>
        </w:rPr>
        <w:t>的主角是誰？</w:t>
      </w:r>
    </w:p>
    <w:p w:rsidR="00424831" w:rsidRDefault="00424831" w:rsidP="00424831">
      <w:r>
        <w:t xml:space="preserve">5. </w:t>
      </w:r>
      <w:r>
        <w:rPr>
          <w:rFonts w:hint="eastAsia"/>
        </w:rPr>
        <w:t>倫理應用性？神並沒有因為人的軟弱而攔阻了神的旨意。</w:t>
      </w:r>
    </w:p>
    <w:p w:rsidR="00424831" w:rsidRDefault="00424831" w:rsidP="00424831">
      <w:r>
        <w:t xml:space="preserve">5.1. </w:t>
      </w:r>
      <w:r>
        <w:rPr>
          <w:rFonts w:hint="eastAsia"/>
        </w:rPr>
        <w:t>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人結婚的猶太女子。</w:t>
      </w:r>
    </w:p>
    <w:p w:rsidR="00424831" w:rsidRDefault="00424831" w:rsidP="00424831">
      <w:r>
        <w:t xml:space="preserve">5.2. </w:t>
      </w:r>
      <w:r>
        <w:rPr>
          <w:rFonts w:hint="eastAsia"/>
        </w:rPr>
        <w:t>要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隱藏猶太人身分</w:t>
      </w:r>
      <w:proofErr w:type="gramStart"/>
      <w:r>
        <w:rPr>
          <w:rFonts w:hint="eastAsia"/>
        </w:rPr>
        <w:t>的末底改</w:t>
      </w:r>
      <w:proofErr w:type="gramEnd"/>
      <w:r>
        <w:rPr>
          <w:rFonts w:hint="eastAsia"/>
        </w:rPr>
        <w:t>。</w:t>
      </w:r>
    </w:p>
    <w:p w:rsidR="00424831" w:rsidRDefault="00424831" w:rsidP="00424831">
      <w:r>
        <w:t xml:space="preserve">6. </w:t>
      </w:r>
      <w:r>
        <w:rPr>
          <w:rFonts w:hint="eastAsia"/>
        </w:rPr>
        <w:t>加爾文講道從不</w:t>
      </w:r>
      <w:proofErr w:type="gramStart"/>
      <w:r>
        <w:rPr>
          <w:rFonts w:hint="eastAsia"/>
        </w:rPr>
        <w:t>講以斯帖記</w:t>
      </w:r>
      <w:proofErr w:type="gramEnd"/>
      <w:r>
        <w:rPr>
          <w:rFonts w:hint="eastAsia"/>
        </w:rPr>
        <w:t>！</w:t>
      </w:r>
    </w:p>
    <w:p w:rsidR="00424831" w:rsidRDefault="00424831" w:rsidP="00424831">
      <w:r>
        <w:t xml:space="preserve">7. </w:t>
      </w:r>
      <w:r>
        <w:rPr>
          <w:rFonts w:hint="eastAsia"/>
        </w:rPr>
        <w:t>教會歷史前</w:t>
      </w:r>
      <w:r>
        <w:t>700</w:t>
      </w:r>
      <w:r>
        <w:rPr>
          <w:rFonts w:hint="eastAsia"/>
        </w:rPr>
        <w:t>年沒有任何</w:t>
      </w:r>
      <w:proofErr w:type="gramStart"/>
      <w:r>
        <w:rPr>
          <w:rFonts w:hint="eastAsia"/>
        </w:rPr>
        <w:t>以斯帖記</w:t>
      </w:r>
      <w:proofErr w:type="gramEnd"/>
      <w:r>
        <w:rPr>
          <w:rFonts w:hint="eastAsia"/>
        </w:rPr>
        <w:t>的注釋。</w:t>
      </w:r>
    </w:p>
    <w:p w:rsidR="00424831" w:rsidRDefault="00424831" w:rsidP="00424831"/>
    <w:p w:rsidR="00424831" w:rsidRDefault="00424831" w:rsidP="00424831">
      <w:r>
        <w:rPr>
          <w:rFonts w:hint="eastAsia"/>
        </w:rPr>
        <w:t>二、神學主題：逆轉勝</w:t>
      </w:r>
    </w:p>
    <w:p w:rsidR="00424831" w:rsidRDefault="00424831" w:rsidP="00424831">
      <w:r>
        <w:rPr>
          <w:rFonts w:hint="eastAsia"/>
        </w:rPr>
        <w:t>神的旨意永遠不會失敗！</w:t>
      </w:r>
    </w:p>
    <w:p w:rsidR="00424831" w:rsidRDefault="00424831" w:rsidP="00424831"/>
    <w:p w:rsidR="00424831" w:rsidRDefault="00424831" w:rsidP="00424831">
      <w:r>
        <w:rPr>
          <w:rFonts w:hint="eastAsia"/>
        </w:rPr>
        <w:t>三、</w:t>
      </w:r>
      <w:proofErr w:type="gramStart"/>
      <w:r>
        <w:rPr>
          <w:rFonts w:hint="eastAsia"/>
        </w:rPr>
        <w:t>整卷書是</w:t>
      </w:r>
      <w:proofErr w:type="gramEnd"/>
      <w:r>
        <w:rPr>
          <w:rFonts w:hint="eastAsia"/>
        </w:rPr>
        <w:t>交叉型結構：參</w:t>
      </w:r>
      <w:r>
        <w:t xml:space="preserve">Y. T. </w:t>
      </w:r>
      <w:proofErr w:type="spellStart"/>
      <w:r>
        <w:t>Radday</w:t>
      </w:r>
      <w:proofErr w:type="spellEnd"/>
      <w:r>
        <w:rPr>
          <w:rFonts w:hint="eastAsia"/>
        </w:rPr>
        <w:t>。</w:t>
      </w:r>
    </w:p>
    <w:p w:rsidR="00424831" w:rsidRDefault="00424831" w:rsidP="00424831">
      <w:r>
        <w:t>A</w:t>
      </w:r>
      <w:r>
        <w:rPr>
          <w:rFonts w:hint="eastAsia"/>
        </w:rPr>
        <w:t>開場白與背景（</w:t>
      </w:r>
      <w:r>
        <w:t>1</w:t>
      </w:r>
      <w:r>
        <w:rPr>
          <w:rFonts w:hint="eastAsia"/>
        </w:rPr>
        <w:t>章）</w:t>
      </w:r>
    </w:p>
    <w:p w:rsidR="00424831" w:rsidRDefault="00424831" w:rsidP="00424831">
      <w:r>
        <w:rPr>
          <w:rFonts w:hint="eastAsia"/>
        </w:rPr>
        <w:t xml:space="preserve">　</w:t>
      </w:r>
      <w:r>
        <w:t>B</w:t>
      </w:r>
      <w:r>
        <w:rPr>
          <w:rFonts w:hint="eastAsia"/>
        </w:rPr>
        <w:t>國王第一次召令（</w:t>
      </w:r>
      <w:r>
        <w:t>2-3</w:t>
      </w:r>
      <w:r>
        <w:rPr>
          <w:rFonts w:hint="eastAsia"/>
        </w:rPr>
        <w:t>章）</w:t>
      </w:r>
    </w:p>
    <w:p w:rsidR="00424831" w:rsidRDefault="00424831" w:rsidP="00424831">
      <w:r>
        <w:rPr>
          <w:rFonts w:hint="eastAsia"/>
        </w:rPr>
        <w:t xml:space="preserve">　　</w:t>
      </w:r>
      <w:r>
        <w:t>C</w:t>
      </w:r>
      <w:r>
        <w:rPr>
          <w:rFonts w:hint="eastAsia"/>
        </w:rPr>
        <w:t>哈曼</w:t>
      </w:r>
      <w:proofErr w:type="gramStart"/>
      <w:r>
        <w:rPr>
          <w:rFonts w:hint="eastAsia"/>
        </w:rPr>
        <w:t>與末底改</w:t>
      </w:r>
      <w:proofErr w:type="gramEnd"/>
      <w:r>
        <w:rPr>
          <w:rFonts w:hint="eastAsia"/>
        </w:rPr>
        <w:t>衝突（</w:t>
      </w:r>
      <w:r>
        <w:t>4-5</w:t>
      </w:r>
      <w:r>
        <w:rPr>
          <w:rFonts w:hint="eastAsia"/>
        </w:rPr>
        <w:t>章）</w:t>
      </w:r>
    </w:p>
    <w:p w:rsidR="00424831" w:rsidRDefault="00424831" w:rsidP="00424831">
      <w:r>
        <w:rPr>
          <w:rFonts w:hint="eastAsia"/>
        </w:rPr>
        <w:t xml:space="preserve">　　　</w:t>
      </w:r>
      <w:r>
        <w:t>D</w:t>
      </w:r>
      <w:r>
        <w:rPr>
          <w:rFonts w:hint="eastAsia"/>
        </w:rPr>
        <w:t>國王睡不著之夜</w:t>
      </w:r>
      <w:proofErr w:type="gramStart"/>
      <w:r>
        <w:rPr>
          <w:rFonts w:hint="eastAsia"/>
        </w:rPr>
        <w:t>（</w:t>
      </w:r>
      <w:proofErr w:type="gramEnd"/>
      <w:r>
        <w:t>6:1</w:t>
      </w:r>
      <w:proofErr w:type="gramStart"/>
      <w:r>
        <w:rPr>
          <w:rFonts w:hint="eastAsia"/>
        </w:rPr>
        <w:t>）</w:t>
      </w:r>
      <w:proofErr w:type="gramEnd"/>
    </w:p>
    <w:p w:rsidR="00424831" w:rsidRDefault="00424831" w:rsidP="00424831">
      <w:r>
        <w:rPr>
          <w:rFonts w:hint="eastAsia"/>
        </w:rPr>
        <w:t xml:space="preserve">　　</w:t>
      </w:r>
      <w:r>
        <w:t>C</w:t>
      </w:r>
      <w:proofErr w:type="gramStart"/>
      <w:r>
        <w:t>’</w:t>
      </w:r>
      <w:r>
        <w:rPr>
          <w:rFonts w:hint="eastAsia"/>
        </w:rPr>
        <w:t>末底改</w:t>
      </w:r>
      <w:proofErr w:type="gramEnd"/>
      <w:r>
        <w:rPr>
          <w:rFonts w:hint="eastAsia"/>
        </w:rPr>
        <w:t>勝過哈曼</w:t>
      </w:r>
      <w:proofErr w:type="gramStart"/>
      <w:r>
        <w:rPr>
          <w:rFonts w:hint="eastAsia"/>
        </w:rPr>
        <w:t>（</w:t>
      </w:r>
      <w:proofErr w:type="gramEnd"/>
      <w:r>
        <w:t>6:2-7</w:t>
      </w:r>
      <w:proofErr w:type="gramStart"/>
      <w:r>
        <w:rPr>
          <w:rFonts w:hint="eastAsia"/>
        </w:rPr>
        <w:t>）</w:t>
      </w:r>
      <w:proofErr w:type="gramEnd"/>
    </w:p>
    <w:p w:rsidR="00424831" w:rsidRDefault="00424831" w:rsidP="00424831">
      <w:r>
        <w:rPr>
          <w:rFonts w:hint="eastAsia"/>
        </w:rPr>
        <w:t xml:space="preserve">　</w:t>
      </w:r>
      <w:r>
        <w:t>B</w:t>
      </w:r>
      <w:proofErr w:type="gramStart"/>
      <w:r>
        <w:t>’</w:t>
      </w:r>
      <w:proofErr w:type="gramEnd"/>
      <w:r>
        <w:rPr>
          <w:rFonts w:hint="eastAsia"/>
        </w:rPr>
        <w:t>國王</w:t>
      </w:r>
      <w:proofErr w:type="gramStart"/>
      <w:r>
        <w:rPr>
          <w:rFonts w:hint="eastAsia"/>
        </w:rPr>
        <w:t>第二次召令</w:t>
      </w:r>
      <w:proofErr w:type="gramEnd"/>
      <w:r>
        <w:rPr>
          <w:rFonts w:hint="eastAsia"/>
        </w:rPr>
        <w:t>（</w:t>
      </w:r>
      <w:r>
        <w:t>8-9</w:t>
      </w:r>
      <w:r>
        <w:rPr>
          <w:rFonts w:hint="eastAsia"/>
        </w:rPr>
        <w:t>章）</w:t>
      </w:r>
    </w:p>
    <w:p w:rsidR="00424831" w:rsidRDefault="00424831" w:rsidP="00424831">
      <w:r>
        <w:t>A</w:t>
      </w:r>
      <w:proofErr w:type="gramStart"/>
      <w:r>
        <w:t>’</w:t>
      </w:r>
      <w:proofErr w:type="gramEnd"/>
      <w:r>
        <w:rPr>
          <w:rFonts w:hint="eastAsia"/>
        </w:rPr>
        <w:t>後記（</w:t>
      </w:r>
      <w:r>
        <w:t>10</w:t>
      </w:r>
      <w:r>
        <w:rPr>
          <w:rFonts w:hint="eastAsia"/>
        </w:rPr>
        <w:t>章）</w:t>
      </w:r>
    </w:p>
    <w:p w:rsidR="00424831" w:rsidRDefault="00424831" w:rsidP="00424831"/>
    <w:p w:rsidR="00424831" w:rsidRDefault="00424831" w:rsidP="00424831">
      <w:r>
        <w:rPr>
          <w:rFonts w:hint="eastAsia"/>
        </w:rPr>
        <w:t>四、是真實的歷史還是杜撰的故事？</w:t>
      </w:r>
    </w:p>
    <w:p w:rsidR="00424831" w:rsidRDefault="00424831" w:rsidP="00424831">
      <w:r>
        <w:t xml:space="preserve">1. </w:t>
      </w:r>
      <w:r>
        <w:rPr>
          <w:rFonts w:hint="eastAsia"/>
        </w:rPr>
        <w:t>杜撰的故事：作者想借用一個古老的傳說，來解釋“普珥節”這個節期的由來，和這節期的意義。</w:t>
      </w:r>
    </w:p>
    <w:p w:rsidR="00424831" w:rsidRDefault="00424831" w:rsidP="00424831">
      <w:r>
        <w:t xml:space="preserve">2. </w:t>
      </w:r>
      <w:r>
        <w:rPr>
          <w:rFonts w:hint="eastAsia"/>
        </w:rPr>
        <w:t>真實的歷史記載，因為作品中引許多可供查證之歷史記述手法：</w:t>
      </w:r>
    </w:p>
    <w:p w:rsidR="00424831" w:rsidRDefault="00424831" w:rsidP="00424831">
      <w:r>
        <w:t xml:space="preserve">2.1. </w:t>
      </w:r>
      <w:r>
        <w:rPr>
          <w:rFonts w:hint="eastAsia"/>
        </w:rPr>
        <w:t>詳細時間地點：斯</w:t>
      </w:r>
      <w:r>
        <w:t>1:1-2</w:t>
      </w:r>
      <w:proofErr w:type="gramStart"/>
      <w:r>
        <w:rPr>
          <w:rFonts w:hint="eastAsia"/>
        </w:rPr>
        <w:t>亞哈隨魯作王</w:t>
      </w:r>
      <w:proofErr w:type="gramEnd"/>
      <w:r>
        <w:rPr>
          <w:rFonts w:hint="eastAsia"/>
        </w:rPr>
        <w:t>、從印度直到</w:t>
      </w:r>
      <w:proofErr w:type="gramStart"/>
      <w:r>
        <w:rPr>
          <w:rFonts w:hint="eastAsia"/>
        </w:rPr>
        <w:t>古實統</w:t>
      </w:r>
      <w:proofErr w:type="gramEnd"/>
      <w:r>
        <w:rPr>
          <w:rFonts w:hint="eastAsia"/>
        </w:rPr>
        <w:t>管</w:t>
      </w:r>
      <w:r>
        <w:t>127</w:t>
      </w:r>
      <w:r>
        <w:rPr>
          <w:rFonts w:hint="eastAsia"/>
        </w:rPr>
        <w:t>省的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王在書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>城的宮登基。</w:t>
      </w:r>
    </w:p>
    <w:p w:rsidR="00424831" w:rsidRDefault="00424831" w:rsidP="00424831">
      <w:r>
        <w:t xml:space="preserve">2.2. </w:t>
      </w:r>
      <w:r>
        <w:rPr>
          <w:rFonts w:hint="eastAsia"/>
        </w:rPr>
        <w:t>列出讀者可參考判斷真偽之資料：斯</w:t>
      </w:r>
      <w:r>
        <w:t>10:2“</w:t>
      </w:r>
      <w:r>
        <w:rPr>
          <w:rFonts w:hint="eastAsia"/>
        </w:rPr>
        <w:t>他以權柄能力所行的、並他抬舉末底改使他高升的事、豈不都寫在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代和波斯王的歷史上麼？”</w:t>
      </w:r>
    </w:p>
    <w:p w:rsidR="00424831" w:rsidRDefault="00424831" w:rsidP="00424831"/>
    <w:p w:rsidR="00424831" w:rsidRDefault="00424831" w:rsidP="00424831">
      <w:r>
        <w:rPr>
          <w:rFonts w:hint="eastAsia"/>
        </w:rPr>
        <w:t>五、本書作者：</w:t>
      </w:r>
    </w:p>
    <w:p w:rsidR="00424831" w:rsidRDefault="00424831" w:rsidP="00424831">
      <w:r>
        <w:t xml:space="preserve">1. </w:t>
      </w:r>
      <w:r>
        <w:rPr>
          <w:rFonts w:hint="eastAsia"/>
        </w:rPr>
        <w:t>猶太史學家約瑟夫及早期教父亞歷山大的格利免認為本書的作者</w:t>
      </w:r>
      <w:proofErr w:type="gramStart"/>
      <w:r>
        <w:rPr>
          <w:rFonts w:hint="eastAsia"/>
        </w:rPr>
        <w:t>為末底改</w:t>
      </w:r>
      <w:proofErr w:type="gramEnd"/>
      <w:r>
        <w:rPr>
          <w:rFonts w:hint="eastAsia"/>
        </w:rPr>
        <w:t>。</w:t>
      </w:r>
    </w:p>
    <w:p w:rsidR="00424831" w:rsidRDefault="00424831" w:rsidP="00424831">
      <w:r>
        <w:t xml:space="preserve">2. </w:t>
      </w:r>
      <w:r>
        <w:rPr>
          <w:rFonts w:hint="eastAsia"/>
        </w:rPr>
        <w:t>猶太法典</w:t>
      </w:r>
      <w:proofErr w:type="gramStart"/>
      <w:r>
        <w:rPr>
          <w:rFonts w:hint="eastAsia"/>
        </w:rPr>
        <w:t>他勒目記載</w:t>
      </w:r>
      <w:proofErr w:type="gramEnd"/>
      <w:r>
        <w:rPr>
          <w:rFonts w:hint="eastAsia"/>
        </w:rPr>
        <w:t>本書是“猶太會堂中之一位無名猶太教師”</w:t>
      </w:r>
      <w:proofErr w:type="gramStart"/>
      <w:r>
        <w:rPr>
          <w:rFonts w:hint="eastAsia"/>
        </w:rPr>
        <w:t>所著</w:t>
      </w:r>
      <w:proofErr w:type="gramEnd"/>
      <w:r>
        <w:rPr>
          <w:rFonts w:hint="eastAsia"/>
        </w:rPr>
        <w:t>。</w:t>
      </w:r>
    </w:p>
    <w:p w:rsidR="00424831" w:rsidRDefault="00424831" w:rsidP="00424831">
      <w:r>
        <w:lastRenderedPageBreak/>
        <w:t xml:space="preserve">3. </w:t>
      </w:r>
      <w:r>
        <w:rPr>
          <w:rFonts w:hint="eastAsia"/>
        </w:rPr>
        <w:t>作者對於波斯風情很瞭解，並以書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>城為故事背景，對猶太地或耶路撒冷城隻字未提，這些都顯示他可能是波斯某城市的居民。</w:t>
      </w:r>
    </w:p>
    <w:p w:rsidR="00424831" w:rsidRDefault="00424831" w:rsidP="00424831"/>
    <w:p w:rsidR="00424831" w:rsidRDefault="00424831" w:rsidP="00424831">
      <w:r>
        <w:rPr>
          <w:rFonts w:hint="eastAsia"/>
        </w:rPr>
        <w:t>六、發生時間：公元前</w:t>
      </w:r>
      <w:r>
        <w:t>483</w:t>
      </w:r>
    </w:p>
    <w:p w:rsidR="00424831" w:rsidRDefault="00424831" w:rsidP="00424831">
      <w:r>
        <w:t xml:space="preserve">1. </w:t>
      </w:r>
      <w:r>
        <w:rPr>
          <w:rFonts w:hint="eastAsia"/>
        </w:rPr>
        <w:t>主前</w:t>
      </w:r>
      <w:r>
        <w:t>538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古列王</w:t>
      </w:r>
      <w:proofErr w:type="gramEnd"/>
      <w:r>
        <w:rPr>
          <w:rFonts w:hint="eastAsia"/>
        </w:rPr>
        <w:t>下達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令允許許多猶太人返回耶路撒冷之後的很長一段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另有其餘的猶太人仍然在異地留住並發展。</w:t>
      </w:r>
    </w:p>
    <w:p w:rsidR="00424831" w:rsidRDefault="00424831" w:rsidP="00424831">
      <w:r>
        <w:t xml:space="preserve">2. </w:t>
      </w:r>
      <w:r>
        <w:rPr>
          <w:rFonts w:hint="eastAsia"/>
        </w:rPr>
        <w:t>本書記載的事件發生於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王（主前</w:t>
      </w:r>
      <w:r>
        <w:t>486-464</w:t>
      </w:r>
      <w:r>
        <w:rPr>
          <w:rFonts w:hint="eastAsia"/>
        </w:rPr>
        <w:t>）年間。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王統治期間已經是波斯帝國衰亡的開始，主前</w:t>
      </w:r>
      <w:r>
        <w:t>464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王在他的寢宮遇刺身亡，主前</w:t>
      </w:r>
      <w:r>
        <w:t>330</w:t>
      </w:r>
      <w:r>
        <w:rPr>
          <w:rFonts w:hint="eastAsia"/>
        </w:rPr>
        <w:t>年波斯帝國</w:t>
      </w:r>
      <w:proofErr w:type="gramStart"/>
      <w:r>
        <w:rPr>
          <w:rFonts w:hint="eastAsia"/>
        </w:rPr>
        <w:t>正式亡</w:t>
      </w:r>
      <w:proofErr w:type="gramEnd"/>
      <w:r>
        <w:rPr>
          <w:rFonts w:hint="eastAsia"/>
        </w:rPr>
        <w:t>於希臘亞歷山大大帝之手。</w:t>
      </w:r>
    </w:p>
    <w:p w:rsidR="00424831" w:rsidRDefault="00424831" w:rsidP="00424831">
      <w:r>
        <w:t xml:space="preserve">3. </w:t>
      </w:r>
      <w:r>
        <w:rPr>
          <w:rFonts w:hint="eastAsia"/>
        </w:rPr>
        <w:t>所</w:t>
      </w:r>
      <w:proofErr w:type="gramStart"/>
      <w:r>
        <w:rPr>
          <w:rFonts w:hint="eastAsia"/>
        </w:rPr>
        <w:t>羅巴伯所</w:t>
      </w:r>
      <w:proofErr w:type="gramEnd"/>
      <w:r>
        <w:rPr>
          <w:rFonts w:hint="eastAsia"/>
        </w:rPr>
        <w:t>領導第一次回歸（公元前</w:t>
      </w:r>
      <w:r>
        <w:t>538</w:t>
      </w:r>
      <w:r>
        <w:rPr>
          <w:rFonts w:hint="eastAsia"/>
        </w:rPr>
        <w:t>）</w:t>
      </w:r>
      <w:proofErr w:type="gramStart"/>
      <w:r>
        <w:rPr>
          <w:rFonts w:hint="eastAsia"/>
        </w:rPr>
        <w:t>與以斯拉</w:t>
      </w:r>
      <w:proofErr w:type="gramEnd"/>
      <w:r>
        <w:rPr>
          <w:rFonts w:hint="eastAsia"/>
        </w:rPr>
        <w:t>所領導之第二次回歸</w:t>
      </w:r>
      <w:proofErr w:type="gramStart"/>
      <w:r>
        <w:rPr>
          <w:rFonts w:hint="eastAsia"/>
        </w:rPr>
        <w:t>之間（</w:t>
      </w:r>
      <w:proofErr w:type="gramEnd"/>
      <w:r>
        <w:rPr>
          <w:rFonts w:hint="eastAsia"/>
        </w:rPr>
        <w:t>公元前</w:t>
      </w:r>
      <w:r>
        <w:t>458</w:t>
      </w:r>
      <w:r>
        <w:rPr>
          <w:rFonts w:hint="eastAsia"/>
        </w:rPr>
        <w:t>）。</w:t>
      </w:r>
    </w:p>
    <w:p w:rsidR="00424831" w:rsidRDefault="00424831" w:rsidP="00424831"/>
    <w:p w:rsidR="00424831" w:rsidRDefault="00424831" w:rsidP="00424831">
      <w:r>
        <w:rPr>
          <w:rFonts w:hint="eastAsia"/>
        </w:rPr>
        <w:t>七、文學特色：</w:t>
      </w:r>
    </w:p>
    <w:p w:rsidR="00424831" w:rsidRDefault="00424831" w:rsidP="00424831">
      <w:r>
        <w:t xml:space="preserve">1. </w:t>
      </w:r>
      <w:r>
        <w:rPr>
          <w:rFonts w:hint="eastAsia"/>
        </w:rPr>
        <w:t>刻意的安排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作者避免提及神或任何宗教活動，似乎是他刻意採用這文學技巧，為了要強調一個事實，</w:t>
      </w:r>
      <w:proofErr w:type="gramStart"/>
      <w:r>
        <w:rPr>
          <w:rFonts w:hint="eastAsia"/>
        </w:rPr>
        <w:t>即神在</w:t>
      </w:r>
      <w:proofErr w:type="gramEnd"/>
      <w:r>
        <w:rPr>
          <w:rFonts w:hint="eastAsia"/>
        </w:rPr>
        <w:t>掌管安排一切表面看來不重要的巧合</w:t>
      </w:r>
      <w:proofErr w:type="gramStart"/>
      <w:r>
        <w:rPr>
          <w:rFonts w:hint="eastAsia"/>
        </w:rPr>
        <w:t>（</w:t>
      </w:r>
      <w:proofErr w:type="gramEnd"/>
      <w:r>
        <w:t>6:1“</w:t>
      </w:r>
      <w:r>
        <w:rPr>
          <w:rFonts w:hint="eastAsia"/>
        </w:rPr>
        <w:t>那夜王睡不著覺、就吩咐人取歷史來、念給他聽。”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，這些巧合構成了猶太人受謀害但獲得拯救的情節。書中每一點都顯示出神主權的治理</w:t>
      </w:r>
      <w:proofErr w:type="gramStart"/>
      <w:r>
        <w:rPr>
          <w:rFonts w:hint="eastAsia"/>
        </w:rPr>
        <w:t>（</w:t>
      </w:r>
      <w:proofErr w:type="gramEnd"/>
      <w:r>
        <w:t>4:12-16“</w:t>
      </w:r>
      <w:r>
        <w:rPr>
          <w:rFonts w:hint="eastAsia"/>
        </w:rPr>
        <w:t>人就把以斯帖這話告訴末底改。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托人回復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說、你莫想在</w:t>
      </w:r>
      <w:proofErr w:type="gramStart"/>
      <w:r>
        <w:rPr>
          <w:rFonts w:hint="eastAsia"/>
        </w:rPr>
        <w:t>王宮裡強過</w:t>
      </w:r>
      <w:proofErr w:type="gramEnd"/>
      <w:r>
        <w:rPr>
          <w:rFonts w:hint="eastAsia"/>
        </w:rPr>
        <w:t>一切猶大人、得</w:t>
      </w:r>
      <w:proofErr w:type="gramStart"/>
      <w:r>
        <w:rPr>
          <w:rFonts w:hint="eastAsia"/>
        </w:rPr>
        <w:t>免這禍</w:t>
      </w:r>
      <w:proofErr w:type="gramEnd"/>
      <w:r>
        <w:rPr>
          <w:rFonts w:hint="eastAsia"/>
        </w:rPr>
        <w:t>。此時</w:t>
      </w:r>
      <w:proofErr w:type="gramStart"/>
      <w:r>
        <w:rPr>
          <w:rFonts w:hint="eastAsia"/>
        </w:rPr>
        <w:t>你若閉口</w:t>
      </w:r>
      <w:proofErr w:type="gramEnd"/>
      <w:r>
        <w:rPr>
          <w:rFonts w:hint="eastAsia"/>
        </w:rPr>
        <w:t>不言、猶大</w:t>
      </w:r>
      <w:proofErr w:type="gramStart"/>
      <w:r>
        <w:rPr>
          <w:rFonts w:hint="eastAsia"/>
        </w:rPr>
        <w:t>人必從別處</w:t>
      </w:r>
      <w:proofErr w:type="gramEnd"/>
      <w:r>
        <w:rPr>
          <w:rFonts w:hint="eastAsia"/>
        </w:rPr>
        <w:t>得解脫、蒙拯救、你和你父家、</w:t>
      </w:r>
      <w:proofErr w:type="gramStart"/>
      <w:r>
        <w:rPr>
          <w:rFonts w:hint="eastAsia"/>
        </w:rPr>
        <w:t>必致滅亡</w:t>
      </w:r>
      <w:proofErr w:type="gramEnd"/>
      <w:r>
        <w:rPr>
          <w:rFonts w:hint="eastAsia"/>
        </w:rPr>
        <w:t>。焉知你得了王后的位分、不是為現今的機會麼。</w:t>
      </w:r>
      <w:proofErr w:type="gramStart"/>
      <w:r>
        <w:rPr>
          <w:rFonts w:hint="eastAsia"/>
        </w:rPr>
        <w:t>以斯帖就</w:t>
      </w:r>
      <w:proofErr w:type="gramEnd"/>
      <w:r>
        <w:rPr>
          <w:rFonts w:hint="eastAsia"/>
        </w:rPr>
        <w:t>吩咐人</w:t>
      </w:r>
      <w:proofErr w:type="gramStart"/>
      <w:r>
        <w:rPr>
          <w:rFonts w:hint="eastAsia"/>
        </w:rPr>
        <w:t>回報末底改</w:t>
      </w:r>
      <w:proofErr w:type="gramEnd"/>
      <w:r>
        <w:rPr>
          <w:rFonts w:hint="eastAsia"/>
        </w:rPr>
        <w:t>說、你</w:t>
      </w:r>
      <w:proofErr w:type="gramStart"/>
      <w:r>
        <w:rPr>
          <w:rFonts w:hint="eastAsia"/>
        </w:rPr>
        <w:t>當去招聚書珊</w:t>
      </w:r>
      <w:proofErr w:type="gramEnd"/>
      <w:r>
        <w:rPr>
          <w:rFonts w:hint="eastAsia"/>
        </w:rPr>
        <w:t>城所有的猶大人、為我禁食三晝三夜、不吃不喝。我和我的宮女、也要這樣禁食。然後我違例進去見王，我</w:t>
      </w:r>
      <w:proofErr w:type="gramStart"/>
      <w:r>
        <w:rPr>
          <w:rFonts w:hint="eastAsia"/>
        </w:rPr>
        <w:t>若死就死罷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，完全沒有提及神，反而更加有效地</w:t>
      </w:r>
      <w:proofErr w:type="gramStart"/>
      <w:r>
        <w:rPr>
          <w:rFonts w:hint="eastAsia"/>
        </w:rPr>
        <w:t>凸顯神</w:t>
      </w:r>
      <w:proofErr w:type="gramEnd"/>
      <w:r>
        <w:rPr>
          <w:rFonts w:hint="eastAsia"/>
        </w:rPr>
        <w:t>掌管一切！</w:t>
      </w:r>
    </w:p>
    <w:p w:rsidR="00424831" w:rsidRDefault="00424831" w:rsidP="00424831">
      <w:r>
        <w:t xml:space="preserve">2. </w:t>
      </w:r>
      <w:r>
        <w:rPr>
          <w:rFonts w:hint="eastAsia"/>
        </w:rPr>
        <w:t>十場</w:t>
      </w:r>
      <w:r>
        <w:t xml:space="preserve"> </w:t>
      </w:r>
      <w:r>
        <w:rPr>
          <w:rFonts w:hint="eastAsia"/>
        </w:rPr>
        <w:t>筵席：“筵席”是</w:t>
      </w:r>
      <w:proofErr w:type="gramStart"/>
      <w:r>
        <w:rPr>
          <w:rFonts w:hint="eastAsia"/>
        </w:rPr>
        <w:t>以斯帖記</w:t>
      </w:r>
      <w:proofErr w:type="gramEnd"/>
      <w:r>
        <w:rPr>
          <w:rFonts w:hint="eastAsia"/>
        </w:rPr>
        <w:t>中一個重要主題，其中又以開始、</w:t>
      </w:r>
      <w:proofErr w:type="gramStart"/>
      <w:r>
        <w:rPr>
          <w:rFonts w:hint="eastAsia"/>
        </w:rPr>
        <w:t>中間、</w:t>
      </w:r>
      <w:proofErr w:type="gramEnd"/>
      <w:r>
        <w:rPr>
          <w:rFonts w:hint="eastAsia"/>
        </w:rPr>
        <w:t>結束的三組宴席特別顯著：</w:t>
      </w:r>
    </w:p>
    <w:p w:rsidR="00424831" w:rsidRDefault="00424831" w:rsidP="00424831">
      <w:r>
        <w:t xml:space="preserve">2.1. 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王的兩次筵席。</w:t>
      </w:r>
    </w:p>
    <w:p w:rsidR="00424831" w:rsidRDefault="00424831" w:rsidP="00424831">
      <w:r>
        <w:t xml:space="preserve">2.2.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的兩次筵席。</w:t>
      </w:r>
    </w:p>
    <w:p w:rsidR="00424831" w:rsidRDefault="00424831" w:rsidP="00424831">
      <w:r>
        <w:t xml:space="preserve">2.3. </w:t>
      </w:r>
      <w:r>
        <w:rPr>
          <w:rFonts w:hint="eastAsia"/>
        </w:rPr>
        <w:t>慶祝普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節的兩次筵席。</w:t>
      </w:r>
    </w:p>
    <w:p w:rsidR="00424831" w:rsidRDefault="00424831" w:rsidP="00424831"/>
    <w:p w:rsidR="00424831" w:rsidRDefault="00424831" w:rsidP="00424831">
      <w:r>
        <w:rPr>
          <w:rFonts w:hint="eastAsia"/>
        </w:rPr>
        <w:t>八、大綱：</w:t>
      </w:r>
    </w:p>
    <w:p w:rsidR="00424831" w:rsidRDefault="00424831" w:rsidP="00424831">
      <w:r>
        <w:t xml:space="preserve">1. </w:t>
      </w:r>
      <w:r>
        <w:rPr>
          <w:rFonts w:hint="eastAsia"/>
        </w:rPr>
        <w:t>身居波斯的猶太人危在旦夕：</w:t>
      </w:r>
      <w:r>
        <w:t>1:1-5:14</w:t>
      </w:r>
    </w:p>
    <w:p w:rsidR="00424831" w:rsidRDefault="00424831" w:rsidP="00424831">
      <w:pPr>
        <w:rPr>
          <w:rFonts w:hint="eastAsia"/>
        </w:rPr>
      </w:pPr>
      <w:r>
        <w:t xml:space="preserve">1.1. </w:t>
      </w:r>
      <w:r>
        <w:rPr>
          <w:rFonts w:hint="eastAsia"/>
        </w:rPr>
        <w:t>波斯生活的危機：</w:t>
      </w:r>
      <w:r>
        <w:t>1:1-22</w:t>
      </w:r>
    </w:p>
    <w:p w:rsidR="00424831" w:rsidRDefault="00424831" w:rsidP="00424831">
      <w:pPr>
        <w:rPr>
          <w:rFonts w:hint="eastAsia"/>
        </w:rPr>
      </w:pPr>
      <w:r>
        <w:t xml:space="preserve">1.2. </w:t>
      </w:r>
      <w:proofErr w:type="gramStart"/>
      <w:r>
        <w:rPr>
          <w:rFonts w:hint="eastAsia"/>
        </w:rPr>
        <w:t>以斯帖、末底</w:t>
      </w:r>
      <w:proofErr w:type="gramEnd"/>
      <w:r>
        <w:rPr>
          <w:rFonts w:hint="eastAsia"/>
        </w:rPr>
        <w:t>改與哈曼：</w:t>
      </w:r>
      <w:r>
        <w:t>2:1-3:15</w:t>
      </w:r>
    </w:p>
    <w:p w:rsidR="00424831" w:rsidRDefault="00424831" w:rsidP="00424831">
      <w:r>
        <w:t xml:space="preserve">1.3.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認定立場：</w:t>
      </w:r>
      <w:r>
        <w:t>4:1-17</w:t>
      </w:r>
    </w:p>
    <w:p w:rsidR="00424831" w:rsidRDefault="00424831" w:rsidP="00424831">
      <w:pPr>
        <w:rPr>
          <w:rFonts w:hint="eastAsia"/>
        </w:rPr>
      </w:pPr>
      <w:r>
        <w:t xml:space="preserve">1.4.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介入：</w:t>
      </w:r>
      <w:r>
        <w:t>5:1-14</w:t>
      </w:r>
    </w:p>
    <w:p w:rsidR="00424831" w:rsidRDefault="00424831" w:rsidP="00424831">
      <w:r>
        <w:t xml:space="preserve">2. </w:t>
      </w:r>
      <w:r>
        <w:rPr>
          <w:rFonts w:hint="eastAsia"/>
        </w:rPr>
        <w:t>逆轉勝：</w:t>
      </w:r>
      <w:r>
        <w:t>6:1-9:19</w:t>
      </w:r>
    </w:p>
    <w:p w:rsidR="00424831" w:rsidRDefault="00424831" w:rsidP="00424831">
      <w:r>
        <w:t xml:space="preserve">2.1. </w:t>
      </w:r>
      <w:r>
        <w:rPr>
          <w:rFonts w:hint="eastAsia"/>
        </w:rPr>
        <w:t>逆轉：</w:t>
      </w:r>
      <w:r>
        <w:t>6:1-14</w:t>
      </w:r>
    </w:p>
    <w:p w:rsidR="00424831" w:rsidRDefault="00424831" w:rsidP="00424831">
      <w:pPr>
        <w:rPr>
          <w:rFonts w:hint="eastAsia"/>
        </w:rPr>
      </w:pPr>
      <w:r>
        <w:t xml:space="preserve">2.2. </w:t>
      </w:r>
      <w:r>
        <w:rPr>
          <w:rFonts w:hint="eastAsia"/>
        </w:rPr>
        <w:t>勝：</w:t>
      </w:r>
      <w:r>
        <w:t>7:1-9:19</w:t>
      </w:r>
    </w:p>
    <w:p w:rsidR="00424831" w:rsidRDefault="00424831" w:rsidP="00424831">
      <w:r>
        <w:lastRenderedPageBreak/>
        <w:t xml:space="preserve">2.3. </w:t>
      </w:r>
      <w:r>
        <w:rPr>
          <w:rFonts w:hint="eastAsia"/>
        </w:rPr>
        <w:t>普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日的由來：</w:t>
      </w:r>
      <w:r>
        <w:t>9:20-32</w:t>
      </w:r>
    </w:p>
    <w:p w:rsidR="00EB4FBC" w:rsidRDefault="00424831" w:rsidP="00424831">
      <w:r>
        <w:t xml:space="preserve">2.4. </w:t>
      </w:r>
      <w:proofErr w:type="gramStart"/>
      <w:r>
        <w:rPr>
          <w:rFonts w:hint="eastAsia"/>
        </w:rPr>
        <w:t>末底改被</w:t>
      </w:r>
      <w:proofErr w:type="gramEnd"/>
      <w:r>
        <w:rPr>
          <w:rFonts w:hint="eastAsia"/>
        </w:rPr>
        <w:t>尊為民族英雄：</w:t>
      </w:r>
      <w:r>
        <w:t>10:1-3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E"/>
    <w:rsid w:val="003312FB"/>
    <w:rsid w:val="00417B5C"/>
    <w:rsid w:val="00424831"/>
    <w:rsid w:val="005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2021-07-05T05:49:00Z</dcterms:created>
  <dcterms:modified xsi:type="dcterms:W3CDTF">2021-07-05T05:49:00Z</dcterms:modified>
</cp:coreProperties>
</file>